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9CC1D37" w14:textId="77777777" w:rsidR="00E97402" w:rsidRPr="00196BAE" w:rsidRDefault="00454240">
      <w:pPr>
        <w:pStyle w:val="Text"/>
        <w:ind w:firstLine="0"/>
        <w:rPr>
          <w:sz w:val="4"/>
          <w:szCs w:val="4"/>
          <w:lang w:val="es-EC"/>
        </w:rPr>
      </w:pPr>
      <w:r w:rsidRPr="00196BAE">
        <w:rPr>
          <w:sz w:val="4"/>
          <w:szCs w:val="4"/>
          <w:lang w:val="es-EC"/>
        </w:rPr>
        <w:fldChar w:fldCharType="begin"/>
      </w:r>
      <w:r w:rsidRPr="00196BAE">
        <w:rPr>
          <w:sz w:val="4"/>
          <w:szCs w:val="4"/>
          <w:lang w:val="es-EC"/>
        </w:rPr>
        <w:instrText xml:space="preserve"> MACROBUTTON MTEditEquationSection2 </w:instrText>
      </w:r>
      <w:r w:rsidRPr="00196BAE">
        <w:rPr>
          <w:rStyle w:val="MTEquationSection"/>
          <w:color w:val="auto"/>
          <w:lang w:val="es-EC"/>
        </w:rPr>
        <w:instrText>Equation Chapter 1 Section 1</w:instrText>
      </w:r>
      <w:r w:rsidRPr="00196BAE">
        <w:rPr>
          <w:sz w:val="4"/>
          <w:szCs w:val="4"/>
          <w:lang w:val="es-EC"/>
        </w:rPr>
        <w:fldChar w:fldCharType="begin"/>
      </w:r>
      <w:r w:rsidRPr="00196BAE">
        <w:rPr>
          <w:sz w:val="4"/>
          <w:szCs w:val="4"/>
          <w:lang w:val="es-EC"/>
        </w:rPr>
        <w:instrText xml:space="preserve"> SEQ MTEqn \r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MTSec \r 1 \h \* MERGEFORMAT </w:instrText>
      </w:r>
      <w:r w:rsidRPr="00196BAE">
        <w:rPr>
          <w:sz w:val="4"/>
          <w:szCs w:val="4"/>
          <w:lang w:val="es-EC"/>
        </w:rPr>
        <w:fldChar w:fldCharType="end"/>
      </w:r>
      <w:r w:rsidRPr="00196BAE">
        <w:rPr>
          <w:sz w:val="4"/>
          <w:szCs w:val="4"/>
          <w:lang w:val="es-EC"/>
        </w:rPr>
        <w:fldChar w:fldCharType="begin"/>
      </w:r>
      <w:r w:rsidRPr="00196BAE">
        <w:rPr>
          <w:sz w:val="4"/>
          <w:szCs w:val="4"/>
          <w:lang w:val="es-EC"/>
        </w:rPr>
        <w:instrText xml:space="preserve"> SEQ MTChap \r 1 \h \* MERGEFORMAT </w:instrText>
      </w:r>
      <w:r w:rsidRPr="00196BAE">
        <w:rPr>
          <w:sz w:val="4"/>
          <w:szCs w:val="4"/>
          <w:lang w:val="es-EC"/>
        </w:rPr>
        <w:fldChar w:fldCharType="end"/>
      </w:r>
      <w:r w:rsidRPr="00196BAE">
        <w:rPr>
          <w:sz w:val="4"/>
          <w:szCs w:val="4"/>
          <w:lang w:val="es-EC"/>
        </w:rPr>
        <w:fldChar w:fldCharType="end"/>
      </w:r>
      <w:r w:rsidR="00E97402" w:rsidRPr="00196BAE">
        <w:rPr>
          <w:sz w:val="4"/>
          <w:szCs w:val="4"/>
          <w:lang w:val="es-EC"/>
        </w:rPr>
        <w:footnoteReference w:customMarkFollows="1" w:id="1"/>
        <w:sym w:font="Symbol" w:char="F020"/>
      </w:r>
    </w:p>
    <w:p w14:paraId="66899FEB" w14:textId="4F850907" w:rsidR="00C57EFC" w:rsidRPr="00921A7B" w:rsidRDefault="00D010B7" w:rsidP="00921A7B">
      <w:pPr>
        <w:pStyle w:val="Ttulo"/>
        <w:framePr w:wrap="notBeside"/>
        <w:rPr>
          <w:sz w:val="50"/>
          <w:szCs w:val="50"/>
          <w:lang w:val="es-EC"/>
        </w:rPr>
      </w:pPr>
      <w:r w:rsidRPr="00D010B7">
        <w:rPr>
          <w:sz w:val="50"/>
          <w:szCs w:val="50"/>
          <w:lang w:val="es-EC"/>
        </w:rPr>
        <w:t xml:space="preserve">Diseño y </w:t>
      </w:r>
      <w:r w:rsidR="00BA4241">
        <w:rPr>
          <w:sz w:val="50"/>
          <w:szCs w:val="50"/>
          <w:lang w:val="es-EC"/>
        </w:rPr>
        <w:t>s</w:t>
      </w:r>
      <w:r w:rsidRPr="00D010B7">
        <w:rPr>
          <w:sz w:val="50"/>
          <w:szCs w:val="50"/>
          <w:lang w:val="es-EC"/>
        </w:rPr>
        <w:t xml:space="preserve">imulación de </w:t>
      </w:r>
      <w:r w:rsidR="00BA4241">
        <w:rPr>
          <w:sz w:val="50"/>
          <w:szCs w:val="50"/>
          <w:lang w:val="es-EC"/>
        </w:rPr>
        <w:t>a</w:t>
      </w:r>
      <w:r w:rsidRPr="00D010B7">
        <w:rPr>
          <w:sz w:val="50"/>
          <w:szCs w:val="50"/>
          <w:lang w:val="es-EC"/>
        </w:rPr>
        <w:t xml:space="preserve">ntenas de </w:t>
      </w:r>
      <w:r w:rsidR="00BA4241">
        <w:rPr>
          <w:sz w:val="50"/>
          <w:szCs w:val="50"/>
          <w:lang w:val="es-EC"/>
        </w:rPr>
        <w:t>m</w:t>
      </w:r>
      <w:r w:rsidRPr="00D010B7">
        <w:rPr>
          <w:sz w:val="50"/>
          <w:szCs w:val="50"/>
          <w:lang w:val="es-EC"/>
        </w:rPr>
        <w:t xml:space="preserve">icrocinta, </w:t>
      </w:r>
      <w:r w:rsidR="00BA4241">
        <w:rPr>
          <w:sz w:val="50"/>
          <w:szCs w:val="50"/>
          <w:lang w:val="es-EC"/>
        </w:rPr>
        <w:t>c</w:t>
      </w:r>
      <w:r w:rsidRPr="00D010B7">
        <w:rPr>
          <w:sz w:val="50"/>
          <w:szCs w:val="50"/>
          <w:lang w:val="es-EC"/>
        </w:rPr>
        <w:t xml:space="preserve">asi cuadrada, </w:t>
      </w:r>
      <w:r w:rsidR="00BA4241">
        <w:rPr>
          <w:sz w:val="50"/>
          <w:szCs w:val="50"/>
          <w:lang w:val="es-EC"/>
        </w:rPr>
        <w:t>c</w:t>
      </w:r>
      <w:r w:rsidRPr="00D010B7">
        <w:rPr>
          <w:sz w:val="50"/>
          <w:szCs w:val="50"/>
          <w:lang w:val="es-EC"/>
        </w:rPr>
        <w:t xml:space="preserve">ircularmente </w:t>
      </w:r>
      <w:r w:rsidR="00BA4241">
        <w:rPr>
          <w:sz w:val="50"/>
          <w:szCs w:val="50"/>
          <w:lang w:val="es-EC"/>
        </w:rPr>
        <w:t>p</w:t>
      </w:r>
      <w:r w:rsidRPr="00D010B7">
        <w:rPr>
          <w:sz w:val="50"/>
          <w:szCs w:val="50"/>
          <w:lang w:val="es-EC"/>
        </w:rPr>
        <w:t xml:space="preserve">olarizada para </w:t>
      </w:r>
      <w:r w:rsidR="00BA4241">
        <w:rPr>
          <w:sz w:val="50"/>
          <w:szCs w:val="50"/>
          <w:lang w:val="es-EC"/>
        </w:rPr>
        <w:t>m</w:t>
      </w:r>
      <w:r w:rsidRPr="00D010B7">
        <w:rPr>
          <w:sz w:val="50"/>
          <w:szCs w:val="50"/>
          <w:lang w:val="es-EC"/>
        </w:rPr>
        <w:t>icrosatélites: Guía práctica para la simulación con el software HFSS™</w:t>
      </w:r>
    </w:p>
    <w:p w14:paraId="48C8EB83" w14:textId="3C55447D" w:rsidR="00E97402" w:rsidRPr="00921A7B" w:rsidRDefault="00D010B7" w:rsidP="00921A7B">
      <w:pPr>
        <w:pStyle w:val="Ttulo"/>
        <w:framePr w:wrap="notBeside"/>
        <w:rPr>
          <w:i/>
          <w:sz w:val="42"/>
          <w:szCs w:val="42"/>
        </w:rPr>
      </w:pPr>
      <w:r w:rsidRPr="00D010B7">
        <w:rPr>
          <w:i/>
          <w:sz w:val="42"/>
          <w:szCs w:val="42"/>
        </w:rPr>
        <w:t xml:space="preserve">Design and </w:t>
      </w:r>
      <w:r w:rsidR="00BA4241">
        <w:rPr>
          <w:i/>
          <w:sz w:val="42"/>
          <w:szCs w:val="42"/>
        </w:rPr>
        <w:t>s</w:t>
      </w:r>
      <w:r w:rsidRPr="00D010B7">
        <w:rPr>
          <w:i/>
          <w:sz w:val="42"/>
          <w:szCs w:val="42"/>
        </w:rPr>
        <w:t xml:space="preserve">imulation of </w:t>
      </w:r>
      <w:r w:rsidR="00BA4241">
        <w:rPr>
          <w:i/>
          <w:sz w:val="42"/>
          <w:szCs w:val="42"/>
        </w:rPr>
        <w:t>c</w:t>
      </w:r>
      <w:r w:rsidRPr="00D010B7">
        <w:rPr>
          <w:i/>
          <w:sz w:val="42"/>
          <w:szCs w:val="42"/>
        </w:rPr>
        <w:t xml:space="preserve">ircularly </w:t>
      </w:r>
      <w:r w:rsidR="00BA4241">
        <w:rPr>
          <w:i/>
          <w:sz w:val="42"/>
          <w:szCs w:val="42"/>
        </w:rPr>
        <w:t>p</w:t>
      </w:r>
      <w:r w:rsidRPr="00D010B7">
        <w:rPr>
          <w:i/>
          <w:sz w:val="42"/>
          <w:szCs w:val="42"/>
        </w:rPr>
        <w:t xml:space="preserve">olarized, </w:t>
      </w:r>
      <w:r w:rsidR="00BA4241">
        <w:rPr>
          <w:i/>
          <w:sz w:val="42"/>
          <w:szCs w:val="42"/>
        </w:rPr>
        <w:t>q</w:t>
      </w:r>
      <w:r w:rsidRPr="00D010B7">
        <w:rPr>
          <w:i/>
          <w:sz w:val="42"/>
          <w:szCs w:val="42"/>
        </w:rPr>
        <w:t>uasi-</w:t>
      </w:r>
      <w:r w:rsidR="00BA4241">
        <w:rPr>
          <w:i/>
          <w:sz w:val="42"/>
          <w:szCs w:val="42"/>
        </w:rPr>
        <w:t>s</w:t>
      </w:r>
      <w:r w:rsidRPr="00D010B7">
        <w:rPr>
          <w:i/>
          <w:sz w:val="42"/>
          <w:szCs w:val="42"/>
        </w:rPr>
        <w:t xml:space="preserve">quare </w:t>
      </w:r>
      <w:r w:rsidR="00BA4241">
        <w:rPr>
          <w:i/>
          <w:sz w:val="42"/>
          <w:szCs w:val="42"/>
        </w:rPr>
        <w:t>m</w:t>
      </w:r>
      <w:r w:rsidRPr="00D010B7">
        <w:rPr>
          <w:i/>
          <w:sz w:val="42"/>
          <w:szCs w:val="42"/>
        </w:rPr>
        <w:t xml:space="preserve">icrostrip </w:t>
      </w:r>
      <w:r w:rsidR="00BA4241">
        <w:rPr>
          <w:i/>
          <w:sz w:val="42"/>
          <w:szCs w:val="42"/>
        </w:rPr>
        <w:t>a</w:t>
      </w:r>
      <w:r w:rsidRPr="00D010B7">
        <w:rPr>
          <w:i/>
          <w:sz w:val="42"/>
          <w:szCs w:val="42"/>
        </w:rPr>
        <w:t xml:space="preserve">ntennas for </w:t>
      </w:r>
      <w:r w:rsidR="00BA4241">
        <w:rPr>
          <w:i/>
          <w:sz w:val="42"/>
          <w:szCs w:val="42"/>
        </w:rPr>
        <w:t>m</w:t>
      </w:r>
      <w:r w:rsidRPr="00D010B7">
        <w:rPr>
          <w:i/>
          <w:sz w:val="42"/>
          <w:szCs w:val="42"/>
        </w:rPr>
        <w:t xml:space="preserve">icrosatellites: A </w:t>
      </w:r>
      <w:r w:rsidR="00BA4241">
        <w:rPr>
          <w:i/>
          <w:sz w:val="42"/>
          <w:szCs w:val="42"/>
        </w:rPr>
        <w:t>p</w:t>
      </w:r>
      <w:r w:rsidRPr="00D010B7">
        <w:rPr>
          <w:i/>
          <w:sz w:val="42"/>
          <w:szCs w:val="42"/>
        </w:rPr>
        <w:t xml:space="preserve">ractical </w:t>
      </w:r>
      <w:r w:rsidR="00BA4241">
        <w:rPr>
          <w:i/>
          <w:sz w:val="42"/>
          <w:szCs w:val="42"/>
        </w:rPr>
        <w:t>g</w:t>
      </w:r>
      <w:r w:rsidRPr="00D010B7">
        <w:rPr>
          <w:i/>
          <w:sz w:val="42"/>
          <w:szCs w:val="42"/>
        </w:rPr>
        <w:t xml:space="preserve">uide to </w:t>
      </w:r>
      <w:r w:rsidR="00BA4241">
        <w:rPr>
          <w:i/>
          <w:sz w:val="42"/>
          <w:szCs w:val="42"/>
        </w:rPr>
        <w:t>s</w:t>
      </w:r>
      <w:r w:rsidRPr="00D010B7">
        <w:rPr>
          <w:i/>
          <w:sz w:val="42"/>
          <w:szCs w:val="42"/>
        </w:rPr>
        <w:t xml:space="preserve">imulation with HFSS™ </w:t>
      </w:r>
      <w:r w:rsidR="00BA4241">
        <w:rPr>
          <w:i/>
          <w:sz w:val="42"/>
          <w:szCs w:val="42"/>
        </w:rPr>
        <w:t>s</w:t>
      </w:r>
      <w:r w:rsidRPr="00D010B7">
        <w:rPr>
          <w:i/>
          <w:sz w:val="42"/>
          <w:szCs w:val="42"/>
        </w:rPr>
        <w:t>oftware</w:t>
      </w:r>
    </w:p>
    <w:p w14:paraId="5EFFE511" w14:textId="09DC3331" w:rsidR="00E97402" w:rsidRPr="00921A7B" w:rsidRDefault="002A7BDC" w:rsidP="00921A7B">
      <w:pPr>
        <w:pStyle w:val="Authors"/>
        <w:framePr w:wrap="notBeside"/>
        <w:rPr>
          <w:lang w:val="es-EC"/>
        </w:rPr>
      </w:pPr>
      <w:r w:rsidRPr="00D010B7">
        <w:t xml:space="preserve">   </w:t>
      </w:r>
      <w:r w:rsidR="00921A7B" w:rsidRPr="00921A7B">
        <w:rPr>
          <w:lang w:val="es-EC"/>
        </w:rPr>
        <w:t xml:space="preserve">Clara S. Franco, </w:t>
      </w:r>
      <w:proofErr w:type="spellStart"/>
      <w:r w:rsidR="00921A7B" w:rsidRPr="00921A7B">
        <w:rPr>
          <w:lang w:val="es-EC"/>
        </w:rPr>
        <w:t>Willian</w:t>
      </w:r>
      <w:proofErr w:type="spellEnd"/>
      <w:r w:rsidR="00921A7B" w:rsidRPr="00921A7B">
        <w:rPr>
          <w:lang w:val="es-EC"/>
        </w:rPr>
        <w:t xml:space="preserve"> </w:t>
      </w:r>
      <w:proofErr w:type="spellStart"/>
      <w:r w:rsidR="00921A7B" w:rsidRPr="00921A7B">
        <w:rPr>
          <w:lang w:val="es-EC"/>
        </w:rPr>
        <w:t>Fontella</w:t>
      </w:r>
      <w:proofErr w:type="spellEnd"/>
      <w:r w:rsidR="00921A7B" w:rsidRPr="00921A7B">
        <w:rPr>
          <w:lang w:val="es-EC"/>
        </w:rPr>
        <w:t xml:space="preserve">, Marco V.T. </w:t>
      </w:r>
      <w:proofErr w:type="spellStart"/>
      <w:r w:rsidR="00921A7B" w:rsidRPr="00921A7B">
        <w:rPr>
          <w:lang w:val="es-EC"/>
        </w:rPr>
        <w:t>Heckler</w:t>
      </w:r>
      <w:proofErr w:type="spellEnd"/>
      <w:r w:rsidR="00921A7B" w:rsidRPr="00921A7B">
        <w:rPr>
          <w:lang w:val="es-EC"/>
        </w:rPr>
        <w:t xml:space="preserve">, Edson R. Schlosser, Marco Fernando Lara, Rubén D. León V, </w:t>
      </w:r>
      <w:proofErr w:type="spellStart"/>
      <w:r w:rsidR="00921A7B" w:rsidRPr="00921A7B">
        <w:rPr>
          <w:lang w:val="es-EC"/>
        </w:rPr>
        <w:t>Hector</w:t>
      </w:r>
      <w:proofErr w:type="spellEnd"/>
      <w:r w:rsidR="00921A7B" w:rsidRPr="00921A7B">
        <w:rPr>
          <w:lang w:val="es-EC"/>
        </w:rPr>
        <w:t xml:space="preserve"> Moya, José J. Freire, and Alexis F. Tinoco-S</w:t>
      </w:r>
    </w:p>
    <w:p w14:paraId="1A03AD45" w14:textId="503518E9" w:rsidR="00E97402" w:rsidRPr="00196BAE" w:rsidRDefault="00E97402" w:rsidP="00921A7B">
      <w:pPr>
        <w:pStyle w:val="Abstract"/>
      </w:pPr>
      <w:r w:rsidRPr="00196BAE">
        <w:rPr>
          <w:i/>
          <w:iCs/>
        </w:rPr>
        <w:t>Abstract</w:t>
      </w:r>
      <w:r w:rsidR="00C57EFC" w:rsidRPr="00196BAE">
        <w:t>—</w:t>
      </w:r>
      <w:r w:rsidR="00D010B7">
        <w:t>T</w:t>
      </w:r>
      <w:r w:rsidR="00D010B7" w:rsidRPr="00D010B7">
        <w:t>his paper presents a practical guide for the design of a Right-Hand Circular Polarization (RHCP) microstrip antenna using HFSS software. The design considers an antenna to acquire information transmitted by the Global Positioning System (GPS) in the L1 band. This signal is used by the Attitude Control Unit (ACU) to improve the positioning control of a microsatellite traveling in a Low Earth Orbit (LEO). Following the proposed procedure, values of an Axial Ratio (AR) of 1.22 dB, a directivity of 5.14 dB in the broadside direction, and an AR bandwidth of 15 MHz were obtained.</w:t>
      </w:r>
    </w:p>
    <w:p w14:paraId="1A1AFFB8" w14:textId="77777777" w:rsidR="00E97402" w:rsidRPr="00196BAE" w:rsidRDefault="00E97402">
      <w:pPr>
        <w:rPr>
          <w:sz w:val="12"/>
          <w:szCs w:val="12"/>
        </w:rPr>
      </w:pPr>
    </w:p>
    <w:p w14:paraId="18D0EC8B" w14:textId="6661B6BB" w:rsidR="00E97402" w:rsidRPr="002433DF" w:rsidRDefault="00E97402" w:rsidP="00921A7B">
      <w:pPr>
        <w:pStyle w:val="IndexTerms"/>
      </w:pPr>
      <w:bookmarkStart w:id="1" w:name="PointTmp"/>
      <w:r w:rsidRPr="00196BAE">
        <w:rPr>
          <w:i/>
          <w:iCs/>
        </w:rPr>
        <w:t>Index Terms</w:t>
      </w:r>
      <w:r w:rsidRPr="00196BAE">
        <w:t>—</w:t>
      </w:r>
      <w:r w:rsidR="00D010B7" w:rsidRPr="00D010B7">
        <w:t>Microsatellites, Microstrip antenna, Circular polarization antenna, Attitude determination, LEO satellites, Global Positioning System (GPS)</w:t>
      </w:r>
      <w:r w:rsidR="00D22B0A" w:rsidRPr="002433DF">
        <w:t>.</w:t>
      </w:r>
    </w:p>
    <w:p w14:paraId="220F5AE7" w14:textId="77777777" w:rsidR="00E97402" w:rsidRPr="002433DF" w:rsidRDefault="00E97402"/>
    <w:p w14:paraId="421F118E" w14:textId="15086CEE" w:rsidR="00977A15" w:rsidRPr="00196BAE" w:rsidRDefault="00977A15" w:rsidP="00921A7B">
      <w:pPr>
        <w:pStyle w:val="Abstract"/>
        <w:rPr>
          <w:lang w:val="es-EC"/>
        </w:rPr>
      </w:pPr>
      <w:r w:rsidRPr="00196BAE">
        <w:rPr>
          <w:i/>
          <w:iCs/>
          <w:lang w:val="es-EC"/>
        </w:rPr>
        <w:t>Resumen</w:t>
      </w:r>
      <w:r w:rsidRPr="00196BAE">
        <w:rPr>
          <w:lang w:val="es-EC"/>
        </w:rPr>
        <w:t>—</w:t>
      </w:r>
      <w:r w:rsidR="00D010B7" w:rsidRPr="00D010B7">
        <w:rPr>
          <w:lang w:val="es-EC"/>
        </w:rPr>
        <w:t xml:space="preserve">En este trabajo se presenta una guía práctica para el diseño de una antena de microcinta, circularmente polarizada a derecha (RHCP), usando el software HFSS. Este procedimiento se aplica al diseño de una antena para adquirir la información transmitida por el sistema de posicionamiento </w:t>
      </w:r>
      <w:r w:rsidR="006C12B9">
        <w:rPr>
          <w:lang w:val="es-EC"/>
        </w:rPr>
        <w:t>global</w:t>
      </w:r>
      <w:r w:rsidR="00D010B7" w:rsidRPr="00D010B7">
        <w:rPr>
          <w:lang w:val="es-EC"/>
        </w:rPr>
        <w:t xml:space="preserve"> (GPS), en la banda L1, que se utiliza en la unidad de control de actitud (ACU) para el mejoramiento del control de la actitud de un microsatélite</w:t>
      </w:r>
      <w:r w:rsidR="00D010B7">
        <w:rPr>
          <w:lang w:val="es-EC"/>
        </w:rPr>
        <w:t xml:space="preserve"> </w:t>
      </w:r>
      <w:r w:rsidR="00D010B7" w:rsidRPr="00D010B7">
        <w:rPr>
          <w:lang w:val="es-EC"/>
        </w:rPr>
        <w:t xml:space="preserve">viajando en una órbita baja (LEO). Valores para la razón axial (AR) de 1,22 dB, una directividad de 5,14 dB </w:t>
      </w:r>
      <w:r w:rsidR="006C12B9">
        <w:rPr>
          <w:lang w:val="es-EC"/>
        </w:rPr>
        <w:t xml:space="preserve">en la dirección </w:t>
      </w:r>
      <w:proofErr w:type="spellStart"/>
      <w:r w:rsidR="006C12B9">
        <w:rPr>
          <w:lang w:val="es-EC"/>
        </w:rPr>
        <w:t>Broadside</w:t>
      </w:r>
      <w:proofErr w:type="spellEnd"/>
      <w:r w:rsidR="006C12B9">
        <w:rPr>
          <w:lang w:val="es-EC"/>
        </w:rPr>
        <w:t>, y un</w:t>
      </w:r>
      <w:r w:rsidR="00D010B7" w:rsidRPr="00D010B7">
        <w:rPr>
          <w:lang w:val="es-EC"/>
        </w:rPr>
        <w:t xml:space="preserve"> ancho de banda para la RA de 15 MHz fueron obtenidos siguiendo el procedimiento propuesto</w:t>
      </w:r>
      <w:r w:rsidR="00A23F11" w:rsidRPr="00A23F11">
        <w:rPr>
          <w:lang w:val="es-EC"/>
        </w:rPr>
        <w:t>.</w:t>
      </w:r>
      <w:r w:rsidR="00223C49" w:rsidRPr="00196BAE">
        <w:rPr>
          <w:lang w:val="es-EC"/>
        </w:rPr>
        <w:t xml:space="preserve"> </w:t>
      </w:r>
    </w:p>
    <w:p w14:paraId="3CF152EC" w14:textId="77777777" w:rsidR="00977A15" w:rsidRPr="00196BAE" w:rsidRDefault="00977A15" w:rsidP="00977A15">
      <w:pPr>
        <w:rPr>
          <w:sz w:val="12"/>
          <w:szCs w:val="12"/>
          <w:lang w:val="es-EC"/>
        </w:rPr>
      </w:pPr>
    </w:p>
    <w:p w14:paraId="1106F583" w14:textId="0F2B40A0" w:rsidR="00977A15" w:rsidRPr="00196BAE" w:rsidRDefault="00977A15" w:rsidP="00921A7B">
      <w:pPr>
        <w:pStyle w:val="IndexTerms"/>
        <w:rPr>
          <w:lang w:val="es-EC"/>
        </w:rPr>
      </w:pPr>
      <w:r w:rsidRPr="00196BAE">
        <w:rPr>
          <w:i/>
          <w:iCs/>
          <w:lang w:val="es-EC"/>
        </w:rPr>
        <w:t>Palabras Claves</w:t>
      </w:r>
      <w:r w:rsidRPr="00196BAE">
        <w:rPr>
          <w:lang w:val="es-EC"/>
        </w:rPr>
        <w:t>—</w:t>
      </w:r>
      <w:r w:rsidR="00921A7B" w:rsidRPr="00921A7B">
        <w:rPr>
          <w:lang w:val="es-EC"/>
        </w:rPr>
        <w:t>Microsatélites, Antena de microcinta, Antena circularmente polarizada, Determinación de la actitud, satélites LEO, Sistema de posicionamiento Global - GPS</w:t>
      </w:r>
      <w:r w:rsidR="00CF6539" w:rsidRPr="00196BAE">
        <w:rPr>
          <w:lang w:val="es-EC"/>
        </w:rPr>
        <w:t>.</w:t>
      </w:r>
    </w:p>
    <w:bookmarkEnd w:id="1"/>
    <w:p w14:paraId="53056AE5" w14:textId="77777777" w:rsidR="00E97402" w:rsidRPr="00196BAE" w:rsidRDefault="00E97402">
      <w:pPr>
        <w:pStyle w:val="Ttulo1"/>
        <w:rPr>
          <w:lang w:val="es-EC"/>
        </w:rPr>
      </w:pPr>
      <w:r w:rsidRPr="00196BAE">
        <w:rPr>
          <w:lang w:val="es-EC"/>
        </w:rPr>
        <w:t>I</w:t>
      </w:r>
      <w:r w:rsidR="0082208F" w:rsidRPr="00196BAE">
        <w:rPr>
          <w:lang w:val="es-EC"/>
        </w:rPr>
        <w:t>ntroduc</w:t>
      </w:r>
      <w:r w:rsidR="002F4CF7" w:rsidRPr="00196BAE">
        <w:rPr>
          <w:lang w:val="es-EC"/>
        </w:rPr>
        <w:t>c</w:t>
      </w:r>
      <w:r w:rsidR="009B60C4" w:rsidRPr="00196BAE">
        <w:rPr>
          <w:lang w:val="es-EC"/>
        </w:rPr>
        <w:t>i</w:t>
      </w:r>
      <w:r w:rsidR="002F4CF7" w:rsidRPr="00196BAE">
        <w:rPr>
          <w:lang w:val="es-EC"/>
        </w:rPr>
        <w:t>ó</w:t>
      </w:r>
      <w:r w:rsidR="009B60C4" w:rsidRPr="00196BAE">
        <w:rPr>
          <w:lang w:val="es-EC"/>
        </w:rPr>
        <w:t>n</w:t>
      </w:r>
    </w:p>
    <w:p w14:paraId="11E2B7E6" w14:textId="4DCF1F13" w:rsidR="00E97402" w:rsidRPr="00196BAE" w:rsidRDefault="00D010B7">
      <w:pPr>
        <w:pStyle w:val="Text"/>
        <w:keepNext/>
        <w:framePr w:dropCap="drop" w:lines="2" w:wrap="auto" w:vAnchor="text" w:hAnchor="text"/>
        <w:spacing w:line="480" w:lineRule="exact"/>
        <w:ind w:firstLine="0"/>
        <w:rPr>
          <w:smallCaps/>
          <w:position w:val="-3"/>
          <w:sz w:val="56"/>
          <w:szCs w:val="56"/>
          <w:lang w:val="es-EC"/>
        </w:rPr>
      </w:pPr>
      <w:r>
        <w:rPr>
          <w:position w:val="-3"/>
          <w:sz w:val="56"/>
          <w:szCs w:val="56"/>
          <w:lang w:val="es-EC"/>
        </w:rPr>
        <w:t>I</w:t>
      </w:r>
    </w:p>
    <w:p w14:paraId="30F1B08C" w14:textId="0DA6C30B" w:rsidR="006E2DA7" w:rsidRPr="00D010B7" w:rsidRDefault="00D010B7" w:rsidP="00A23F11">
      <w:pPr>
        <w:pStyle w:val="Text"/>
        <w:rPr>
          <w:lang w:val="es-EC"/>
        </w:rPr>
      </w:pPr>
      <w:r w:rsidRPr="00D010B7">
        <w:rPr>
          <w:smallCaps/>
          <w:lang w:val="es-EC"/>
        </w:rPr>
        <w:t>niciativas</w:t>
      </w:r>
      <w:r w:rsidR="00F72B8A" w:rsidRPr="00D010B7">
        <w:rPr>
          <w:smallCaps/>
          <w:lang w:val="es-EC"/>
        </w:rPr>
        <w:t xml:space="preserve"> </w:t>
      </w:r>
      <w:r w:rsidRPr="00D010B7">
        <w:rPr>
          <w:lang w:val="es-EC"/>
        </w:rPr>
        <w:t>destinadas al progreso de la industria aeroespacial y por ende al desarrollo de todas las ramas de la Ingeniería han sido impulsadas en los últimos años por varios gobiernos y agencias internacionales. En la actualidad, proyectos multidisciplinares en el ámbito académico destinados al desarrollo de Nanosatélites, microsatélites o también conocidos como Satélites Universitarios son encontradas a nivel global [1</w:t>
      </w:r>
      <w:r w:rsidR="006C12B9">
        <w:rPr>
          <w:lang w:val="es-EC"/>
        </w:rPr>
        <w:t>]</w:t>
      </w:r>
      <w:r w:rsidR="00807771">
        <w:rPr>
          <w:lang w:val="es-EC"/>
        </w:rPr>
        <w:t>-</w:t>
      </w:r>
      <w:r w:rsidRPr="00D010B7">
        <w:rPr>
          <w:lang w:val="es-EC"/>
        </w:rPr>
        <w:t>[3]. Agencias como la Administración Nacional de Aeronáutica y el Espacio - NASA (</w:t>
      </w:r>
      <w:proofErr w:type="spellStart"/>
      <w:r w:rsidRPr="00D010B7">
        <w:rPr>
          <w:lang w:val="es-EC"/>
        </w:rPr>
        <w:t>National</w:t>
      </w:r>
      <w:proofErr w:type="spellEnd"/>
      <w:r w:rsidRPr="00D010B7">
        <w:rPr>
          <w:lang w:val="es-EC"/>
        </w:rPr>
        <w:t xml:space="preserve"> </w:t>
      </w:r>
      <w:proofErr w:type="spellStart"/>
      <w:r w:rsidRPr="00D010B7">
        <w:rPr>
          <w:lang w:val="es-EC"/>
        </w:rPr>
        <w:t>Aeronautics</w:t>
      </w:r>
      <w:proofErr w:type="spellEnd"/>
      <w:r w:rsidRPr="00D010B7">
        <w:rPr>
          <w:lang w:val="es-EC"/>
        </w:rPr>
        <w:t xml:space="preserve"> and </w:t>
      </w:r>
      <w:proofErr w:type="spellStart"/>
      <w:r w:rsidRPr="00D010B7">
        <w:rPr>
          <w:lang w:val="es-EC"/>
        </w:rPr>
        <w:t>Space</w:t>
      </w:r>
      <w:proofErr w:type="spellEnd"/>
      <w:r w:rsidRPr="00D010B7">
        <w:rPr>
          <w:lang w:val="es-EC"/>
        </w:rPr>
        <w:t xml:space="preserve"> </w:t>
      </w:r>
      <w:proofErr w:type="spellStart"/>
      <w:r w:rsidRPr="00D010B7">
        <w:rPr>
          <w:lang w:val="es-EC"/>
        </w:rPr>
        <w:t>Administration</w:t>
      </w:r>
      <w:proofErr w:type="spellEnd"/>
      <w:r w:rsidRPr="00D010B7">
        <w:rPr>
          <w:lang w:val="es-EC"/>
        </w:rPr>
        <w:t xml:space="preserve">) a través de su iniciativa </w:t>
      </w:r>
      <w:proofErr w:type="spellStart"/>
      <w:r w:rsidRPr="00D010B7">
        <w:rPr>
          <w:lang w:val="es-EC"/>
        </w:rPr>
        <w:t>ELaNa</w:t>
      </w:r>
      <w:proofErr w:type="spellEnd"/>
      <w:r w:rsidRPr="00D010B7">
        <w:rPr>
          <w:lang w:val="es-EC"/>
        </w:rPr>
        <w:t xml:space="preserve"> (</w:t>
      </w:r>
      <w:proofErr w:type="spellStart"/>
      <w:r w:rsidRPr="00D010B7">
        <w:rPr>
          <w:lang w:val="es-EC"/>
        </w:rPr>
        <w:t>Educational</w:t>
      </w:r>
      <w:proofErr w:type="spellEnd"/>
      <w:r w:rsidRPr="00D010B7">
        <w:rPr>
          <w:lang w:val="es-EC"/>
        </w:rPr>
        <w:t xml:space="preserve"> </w:t>
      </w:r>
      <w:proofErr w:type="spellStart"/>
      <w:r w:rsidRPr="00D010B7">
        <w:rPr>
          <w:lang w:val="es-EC"/>
        </w:rPr>
        <w:t>Launch</w:t>
      </w:r>
      <w:proofErr w:type="spellEnd"/>
      <w:r w:rsidRPr="00D010B7">
        <w:rPr>
          <w:lang w:val="es-EC"/>
        </w:rPr>
        <w:t xml:space="preserve"> of </w:t>
      </w:r>
      <w:proofErr w:type="spellStart"/>
      <w:r w:rsidRPr="00D010B7">
        <w:rPr>
          <w:lang w:val="es-EC"/>
        </w:rPr>
        <w:t>Nanosatellites</w:t>
      </w:r>
      <w:proofErr w:type="spellEnd"/>
      <w:r w:rsidRPr="00D010B7">
        <w:rPr>
          <w:lang w:val="es-EC"/>
        </w:rPr>
        <w:t>), la Agencia Espacial Brasilera - AEB (</w:t>
      </w:r>
      <w:proofErr w:type="spellStart"/>
      <w:r w:rsidRPr="00D010B7">
        <w:rPr>
          <w:lang w:val="es-EC"/>
        </w:rPr>
        <w:t>Agência</w:t>
      </w:r>
      <w:proofErr w:type="spellEnd"/>
      <w:r w:rsidRPr="00D010B7">
        <w:rPr>
          <w:lang w:val="es-EC"/>
        </w:rPr>
        <w:t xml:space="preserve"> Espacial Brasileira) a través de su programa de nanosatélites educacionales o la Agencia Espacial Europea – ESA (</w:t>
      </w:r>
      <w:proofErr w:type="spellStart"/>
      <w:r w:rsidRPr="00D010B7">
        <w:rPr>
          <w:lang w:val="es-EC"/>
        </w:rPr>
        <w:t>European</w:t>
      </w:r>
      <w:proofErr w:type="spellEnd"/>
      <w:r w:rsidRPr="00D010B7">
        <w:rPr>
          <w:lang w:val="es-EC"/>
        </w:rPr>
        <w:t xml:space="preserve"> </w:t>
      </w:r>
      <w:proofErr w:type="spellStart"/>
      <w:r w:rsidRPr="00D010B7">
        <w:rPr>
          <w:lang w:val="es-EC"/>
        </w:rPr>
        <w:t>Space</w:t>
      </w:r>
      <w:proofErr w:type="spellEnd"/>
      <w:r w:rsidRPr="00D010B7">
        <w:rPr>
          <w:lang w:val="es-EC"/>
        </w:rPr>
        <w:t xml:space="preserve"> Agency) con la ESA </w:t>
      </w:r>
      <w:proofErr w:type="spellStart"/>
      <w:r w:rsidRPr="00D010B7">
        <w:rPr>
          <w:lang w:val="es-EC"/>
        </w:rPr>
        <w:t>Academy</w:t>
      </w:r>
      <w:proofErr w:type="spellEnd"/>
      <w:r w:rsidRPr="00D010B7">
        <w:rPr>
          <w:lang w:val="es-EC"/>
        </w:rPr>
        <w:t xml:space="preserve"> y su programa “</w:t>
      </w:r>
      <w:proofErr w:type="spellStart"/>
      <w:r w:rsidRPr="00D010B7">
        <w:rPr>
          <w:lang w:val="es-EC"/>
        </w:rPr>
        <w:t>Fly</w:t>
      </w:r>
      <w:proofErr w:type="spellEnd"/>
      <w:r w:rsidRPr="00D010B7">
        <w:rPr>
          <w:lang w:val="es-EC"/>
        </w:rPr>
        <w:t xml:space="preserve"> </w:t>
      </w:r>
      <w:proofErr w:type="spellStart"/>
      <w:r w:rsidRPr="00D010B7">
        <w:rPr>
          <w:lang w:val="es-EC"/>
        </w:rPr>
        <w:t>Your</w:t>
      </w:r>
      <w:proofErr w:type="spellEnd"/>
      <w:r w:rsidRPr="00D010B7">
        <w:rPr>
          <w:lang w:val="es-EC"/>
        </w:rPr>
        <w:t xml:space="preserve"> </w:t>
      </w:r>
      <w:proofErr w:type="spellStart"/>
      <w:r w:rsidRPr="00D010B7">
        <w:rPr>
          <w:lang w:val="es-EC"/>
        </w:rPr>
        <w:t>Satellite</w:t>
      </w:r>
      <w:proofErr w:type="spellEnd"/>
      <w:r w:rsidRPr="00D010B7">
        <w:rPr>
          <w:lang w:val="es-EC"/>
        </w:rPr>
        <w:t>” son ejemplos de estos programas [2].</w:t>
      </w:r>
    </w:p>
    <w:p w14:paraId="1780F340" w14:textId="46C8888E" w:rsidR="00D010B7" w:rsidRPr="00D010B7" w:rsidRDefault="00D010B7" w:rsidP="00D010B7">
      <w:pPr>
        <w:pStyle w:val="Text"/>
        <w:rPr>
          <w:lang w:val="es-EC"/>
        </w:rPr>
      </w:pPr>
      <w:r w:rsidRPr="00D010B7">
        <w:rPr>
          <w:lang w:val="es-EC"/>
        </w:rPr>
        <w:t xml:space="preserve">De por sí, un microsatélite es un sistema complejo, que requiere la integración de varios subsistemas y de su correcta interoperabilidad [1], [4]. En este sentido, podemos decir que los principales subsistemas integrantes de un microsatélite, según el modelo estándar para microsatélite propuesta por el  California </w:t>
      </w:r>
      <w:proofErr w:type="spellStart"/>
      <w:r w:rsidRPr="00D010B7">
        <w:rPr>
          <w:lang w:val="es-EC"/>
        </w:rPr>
        <w:t>Polytechnic</w:t>
      </w:r>
      <w:proofErr w:type="spellEnd"/>
      <w:r w:rsidRPr="00D010B7">
        <w:rPr>
          <w:lang w:val="es-EC"/>
        </w:rPr>
        <w:t xml:space="preserve"> </w:t>
      </w:r>
      <w:proofErr w:type="spellStart"/>
      <w:r w:rsidRPr="00D010B7">
        <w:rPr>
          <w:lang w:val="es-EC"/>
        </w:rPr>
        <w:t>State</w:t>
      </w:r>
      <w:proofErr w:type="spellEnd"/>
      <w:r w:rsidRPr="00D010B7">
        <w:rPr>
          <w:lang w:val="es-EC"/>
        </w:rPr>
        <w:t xml:space="preserve"> </w:t>
      </w:r>
      <w:proofErr w:type="spellStart"/>
      <w:r w:rsidRPr="00D010B7">
        <w:rPr>
          <w:lang w:val="es-EC"/>
        </w:rPr>
        <w:t>University</w:t>
      </w:r>
      <w:proofErr w:type="spellEnd"/>
      <w:r w:rsidRPr="00D010B7">
        <w:rPr>
          <w:lang w:val="es-EC"/>
        </w:rPr>
        <w:t xml:space="preserve"> (Cal </w:t>
      </w:r>
      <w:proofErr w:type="spellStart"/>
      <w:r w:rsidRPr="00D010B7">
        <w:rPr>
          <w:lang w:val="es-EC"/>
        </w:rPr>
        <w:t>Poly</w:t>
      </w:r>
      <w:proofErr w:type="spellEnd"/>
      <w:r w:rsidRPr="00D010B7">
        <w:rPr>
          <w:lang w:val="es-EC"/>
        </w:rPr>
        <w:t xml:space="preserve">) y por el Stanford </w:t>
      </w:r>
      <w:proofErr w:type="spellStart"/>
      <w:r w:rsidRPr="00D010B7">
        <w:rPr>
          <w:lang w:val="es-EC"/>
        </w:rPr>
        <w:t>University’s</w:t>
      </w:r>
      <w:proofErr w:type="spellEnd"/>
      <w:r w:rsidRPr="00D010B7">
        <w:rPr>
          <w:lang w:val="es-EC"/>
        </w:rPr>
        <w:t xml:space="preserve"> </w:t>
      </w:r>
      <w:proofErr w:type="spellStart"/>
      <w:r w:rsidRPr="00D010B7">
        <w:rPr>
          <w:lang w:val="es-EC"/>
        </w:rPr>
        <w:t>Space</w:t>
      </w:r>
      <w:proofErr w:type="spellEnd"/>
      <w:r w:rsidRPr="00D010B7">
        <w:rPr>
          <w:lang w:val="es-EC"/>
        </w:rPr>
        <w:t xml:space="preserve"> </w:t>
      </w:r>
      <w:proofErr w:type="spellStart"/>
      <w:r w:rsidRPr="00D010B7">
        <w:rPr>
          <w:lang w:val="es-EC"/>
        </w:rPr>
        <w:t>Systems</w:t>
      </w:r>
      <w:proofErr w:type="spellEnd"/>
      <w:r w:rsidRPr="00D010B7">
        <w:rPr>
          <w:lang w:val="es-EC"/>
        </w:rPr>
        <w:t xml:space="preserve"> </w:t>
      </w:r>
      <w:proofErr w:type="spellStart"/>
      <w:r w:rsidRPr="00D010B7">
        <w:rPr>
          <w:lang w:val="es-EC"/>
        </w:rPr>
        <w:t>Development</w:t>
      </w:r>
      <w:proofErr w:type="spellEnd"/>
      <w:r w:rsidRPr="00D010B7">
        <w:rPr>
          <w:lang w:val="es-EC"/>
        </w:rPr>
        <w:t xml:space="preserve"> </w:t>
      </w:r>
      <w:proofErr w:type="spellStart"/>
      <w:r w:rsidRPr="00D010B7">
        <w:rPr>
          <w:lang w:val="es-EC"/>
        </w:rPr>
        <w:t>Lab</w:t>
      </w:r>
      <w:proofErr w:type="spellEnd"/>
      <w:r w:rsidRPr="00D010B7">
        <w:rPr>
          <w:lang w:val="es-EC"/>
        </w:rPr>
        <w:t xml:space="preserve"> en 1999 [4], son: a) computadora de vuelo, b) unidad controladora de carga útil, c) sistema de energía eléctrica, d) subsistema de adquisición de actitud y control de trayectoria, e) unidad de comando / control y telemetría, por ejemplo [1], [3], [5]</w:t>
      </w:r>
      <w:r>
        <w:rPr>
          <w:lang w:val="es-EC"/>
        </w:rPr>
        <w:t>-</w:t>
      </w:r>
      <w:r w:rsidRPr="00D010B7">
        <w:rPr>
          <w:lang w:val="es-EC"/>
        </w:rPr>
        <w:t xml:space="preserve">[7]. </w:t>
      </w:r>
    </w:p>
    <w:p w14:paraId="49008C41" w14:textId="7C561669" w:rsidR="00D010B7" w:rsidRPr="00D010B7" w:rsidRDefault="00D010B7" w:rsidP="00D010B7">
      <w:pPr>
        <w:pStyle w:val="Text"/>
        <w:rPr>
          <w:lang w:val="es-EC"/>
        </w:rPr>
      </w:pPr>
      <w:r w:rsidRPr="00D010B7">
        <w:rPr>
          <w:lang w:val="es-EC"/>
        </w:rPr>
        <w:t xml:space="preserve">Cada una de las unidades antes mencionadas </w:t>
      </w:r>
      <w:r w:rsidR="006C12B9">
        <w:rPr>
          <w:lang w:val="es-EC"/>
        </w:rPr>
        <w:t>cumple</w:t>
      </w:r>
      <w:r w:rsidRPr="00D010B7">
        <w:rPr>
          <w:lang w:val="es-EC"/>
        </w:rPr>
        <w:t xml:space="preserve"> tareas especializadas para garantizar el correcto funcionamiento del </w:t>
      </w:r>
      <w:r w:rsidRPr="00D010B7">
        <w:rPr>
          <w:lang w:val="es-EC"/>
        </w:rPr>
        <w:lastRenderedPageBreak/>
        <w:t>microsatélite. A saber, el control de la órbita del microsatélite es una tarea que se desarrolla en el subsistema de adquisición de actitud y control de trayectoria. Este subsistema depende, básicamente, del sensor de actitud de vuelo y de sus actuadores.  Podemos mencionar que de los varios dispositivos comúnmente usados para orientar el viaje del microsatélite</w:t>
      </w:r>
      <w:r w:rsidR="006C12B9">
        <w:rPr>
          <w:lang w:val="es-EC"/>
        </w:rPr>
        <w:t xml:space="preserve">, los más usados son dos: el sensor detector de estrellas o un subsistema que usa las señales transmitidas por alguno de los sistemas de posicionamiento global (Global </w:t>
      </w:r>
      <w:proofErr w:type="spellStart"/>
      <w:r w:rsidR="006C12B9">
        <w:rPr>
          <w:lang w:val="es-EC"/>
        </w:rPr>
        <w:t>Navigation</w:t>
      </w:r>
      <w:proofErr w:type="spellEnd"/>
      <w:r w:rsidR="006C12B9">
        <w:rPr>
          <w:lang w:val="es-EC"/>
        </w:rPr>
        <w:t xml:space="preserve"> </w:t>
      </w:r>
      <w:proofErr w:type="spellStart"/>
      <w:r w:rsidR="006C12B9">
        <w:rPr>
          <w:lang w:val="es-EC"/>
        </w:rPr>
        <w:t>Satellite</w:t>
      </w:r>
      <w:proofErr w:type="spellEnd"/>
      <w:r w:rsidR="006C12B9">
        <w:rPr>
          <w:lang w:val="es-EC"/>
        </w:rPr>
        <w:t xml:space="preserve"> </w:t>
      </w:r>
      <w:proofErr w:type="spellStart"/>
      <w:r w:rsidR="006C12B9">
        <w:rPr>
          <w:lang w:val="es-EC"/>
        </w:rPr>
        <w:t>System</w:t>
      </w:r>
      <w:proofErr w:type="spellEnd"/>
      <w:r w:rsidR="006C12B9">
        <w:rPr>
          <w:lang w:val="es-EC"/>
        </w:rPr>
        <w:t xml:space="preserve"> - GNSS),</w:t>
      </w:r>
      <w:r w:rsidRPr="00D010B7">
        <w:rPr>
          <w:lang w:val="es-EC"/>
        </w:rPr>
        <w:t xml:space="preserve"> ent</w:t>
      </w:r>
      <w:r w:rsidR="006C12B9">
        <w:rPr>
          <w:lang w:val="es-EC"/>
        </w:rPr>
        <w:t>r</w:t>
      </w:r>
      <w:r w:rsidRPr="00D010B7">
        <w:rPr>
          <w:lang w:val="es-EC"/>
        </w:rPr>
        <w:t>e los cuales el más popular es el GPS. En relación con los actuadores disponibles en la actualidad</w:t>
      </w:r>
      <w:r w:rsidR="006C12B9">
        <w:rPr>
          <w:lang w:val="es-EC"/>
        </w:rPr>
        <w:t>,</w:t>
      </w:r>
      <w:r w:rsidRPr="00D010B7">
        <w:rPr>
          <w:lang w:val="es-EC"/>
        </w:rPr>
        <w:t xml:space="preserve"> los más usados son: microsistema de propulsión o magneto par (</w:t>
      </w:r>
      <w:proofErr w:type="spellStart"/>
      <w:r w:rsidRPr="00D010B7">
        <w:rPr>
          <w:lang w:val="es-EC"/>
        </w:rPr>
        <w:t>Magnetorquer</w:t>
      </w:r>
      <w:proofErr w:type="spellEnd"/>
      <w:r w:rsidRPr="00D010B7">
        <w:rPr>
          <w:lang w:val="es-EC"/>
        </w:rPr>
        <w:t>) [1], [5]</w:t>
      </w:r>
      <w:r>
        <w:rPr>
          <w:lang w:val="es-EC"/>
        </w:rPr>
        <w:t>-</w:t>
      </w:r>
      <w:r w:rsidRPr="00D010B7">
        <w:rPr>
          <w:lang w:val="es-EC"/>
        </w:rPr>
        <w:t>[8].</w:t>
      </w:r>
    </w:p>
    <w:p w14:paraId="351187AF" w14:textId="0946460B" w:rsidR="00D010B7" w:rsidRPr="00D010B7" w:rsidRDefault="00D010B7" w:rsidP="00D010B7">
      <w:pPr>
        <w:pStyle w:val="Text"/>
        <w:rPr>
          <w:lang w:val="es-EC"/>
        </w:rPr>
      </w:pPr>
      <w:r w:rsidRPr="00D010B7">
        <w:rPr>
          <w:lang w:val="es-EC"/>
        </w:rPr>
        <w:t xml:space="preserve">Este artículo </w:t>
      </w:r>
      <w:r w:rsidR="006C12B9">
        <w:rPr>
          <w:lang w:val="es-EC"/>
        </w:rPr>
        <w:t>presenta el diseño y simulación de una antena de microcinta, casi cuadrada, circularmente polarizada para recepción de la señal de GPS en la banda L1 y se enfoca</w:t>
      </w:r>
      <w:r w:rsidRPr="00D010B7">
        <w:rPr>
          <w:lang w:val="es-EC"/>
        </w:rPr>
        <w:t xml:space="preserve"> en una guía práctica para la simulación usando el software HFSS™ [9]. La antena diseñada será integrada al subsistema ACU. Para esta finalidad</w:t>
      </w:r>
      <w:r w:rsidR="006C12B9">
        <w:rPr>
          <w:lang w:val="es-EC"/>
        </w:rPr>
        <w:t>,</w:t>
      </w:r>
      <w:r w:rsidRPr="00D010B7">
        <w:rPr>
          <w:lang w:val="es-EC"/>
        </w:rPr>
        <w:t xml:space="preserve"> la antena debe trabajar a la frecuencia de 1,575 GHz - banda L</w:t>
      </w:r>
      <w:r w:rsidRPr="00D010B7">
        <w:rPr>
          <w:vertAlign w:val="subscript"/>
          <w:lang w:val="es-EC"/>
        </w:rPr>
        <w:t>1</w:t>
      </w:r>
      <w:r w:rsidRPr="00D010B7">
        <w:rPr>
          <w:lang w:val="es-EC"/>
        </w:rPr>
        <w:t xml:space="preserve"> de GPS, tener un ancho de banda de 15 MHz, una razón axial (RA) menor a 3 dB dentro de la banda de pasaje y debe presentar polarización circular a derecha (</w:t>
      </w:r>
      <w:proofErr w:type="spellStart"/>
      <w:r w:rsidRPr="00D010B7">
        <w:rPr>
          <w:lang w:val="es-EC"/>
        </w:rPr>
        <w:t>Right</w:t>
      </w:r>
      <w:proofErr w:type="spellEnd"/>
      <w:r w:rsidRPr="00D010B7">
        <w:rPr>
          <w:lang w:val="es-EC"/>
        </w:rPr>
        <w:t xml:space="preserve"> Hand </w:t>
      </w:r>
      <w:proofErr w:type="spellStart"/>
      <w:r w:rsidRPr="00D010B7">
        <w:rPr>
          <w:lang w:val="es-EC"/>
        </w:rPr>
        <w:t>Circularly</w:t>
      </w:r>
      <w:proofErr w:type="spellEnd"/>
      <w:r w:rsidRPr="00D010B7">
        <w:rPr>
          <w:lang w:val="es-EC"/>
        </w:rPr>
        <w:t xml:space="preserve"> </w:t>
      </w:r>
      <w:proofErr w:type="spellStart"/>
      <w:r w:rsidRPr="00D010B7">
        <w:rPr>
          <w:lang w:val="es-EC"/>
        </w:rPr>
        <w:t>Polarized</w:t>
      </w:r>
      <w:proofErr w:type="spellEnd"/>
      <w:r w:rsidRPr="00D010B7">
        <w:rPr>
          <w:lang w:val="es-EC"/>
        </w:rPr>
        <w:t xml:space="preserve"> – RHCP). </w:t>
      </w:r>
    </w:p>
    <w:p w14:paraId="7C8F17E4" w14:textId="0804FDEB" w:rsidR="00D010B7" w:rsidRPr="00D010B7" w:rsidRDefault="00D010B7" w:rsidP="00D010B7">
      <w:pPr>
        <w:pStyle w:val="Text"/>
        <w:rPr>
          <w:lang w:val="es-EC"/>
        </w:rPr>
      </w:pPr>
      <w:r w:rsidRPr="00D010B7">
        <w:rPr>
          <w:lang w:val="es-EC"/>
        </w:rPr>
        <w:t>Para estimar la geometría inicial de la antena de microcinta circularmente polarizada</w:t>
      </w:r>
      <w:r w:rsidR="006C12B9">
        <w:rPr>
          <w:lang w:val="es-EC"/>
        </w:rPr>
        <w:t>,</w:t>
      </w:r>
      <w:r w:rsidRPr="00D010B7">
        <w:rPr>
          <w:lang w:val="es-EC"/>
        </w:rPr>
        <w:t xml:space="preserve"> el modelo de la cavidad equivalente será usado. En la sección II se presenta, de forma </w:t>
      </w:r>
      <w:r w:rsidR="006C12B9">
        <w:rPr>
          <w:lang w:val="es-EC"/>
        </w:rPr>
        <w:t>resumida</w:t>
      </w:r>
      <w:r w:rsidRPr="00D010B7">
        <w:rPr>
          <w:lang w:val="es-EC"/>
        </w:rPr>
        <w:t>, el modelo de la cavidad equivalente, las condiciones que deben cumplir los modos TM</w:t>
      </w:r>
      <w:r w:rsidRPr="00D010B7">
        <w:rPr>
          <w:vertAlign w:val="subscript"/>
          <w:lang w:val="es-EC"/>
        </w:rPr>
        <w:t>01</w:t>
      </w:r>
      <w:r w:rsidRPr="00D010B7">
        <w:rPr>
          <w:lang w:val="es-EC"/>
        </w:rPr>
        <w:t xml:space="preserve"> y TM</w:t>
      </w:r>
      <w:r w:rsidRPr="00D010B7">
        <w:rPr>
          <w:vertAlign w:val="subscript"/>
          <w:lang w:val="es-EC"/>
        </w:rPr>
        <w:t>10</w:t>
      </w:r>
      <w:r w:rsidRPr="00D010B7">
        <w:rPr>
          <w:lang w:val="es-EC"/>
        </w:rPr>
        <w:t xml:space="preserve"> para generar la polarización circular y a partir de esta teoría se estima la geometría para la antena GPS. En la sección III se presenta una guía para la optimización de la geometría inicial, con auxilio del software HFSS, en términos de su diagrama de la función directividad (</w:t>
      </w:r>
      <w:proofErr w:type="gramStart"/>
      <w:r w:rsidRPr="001007AC">
        <w:rPr>
          <w:i/>
          <w:lang w:val="es-EC"/>
        </w:rPr>
        <w:t>D</w:t>
      </w:r>
      <w:r w:rsidRPr="00D010B7">
        <w:rPr>
          <w:lang w:val="es-EC"/>
        </w:rPr>
        <w:t>(</w:t>
      </w:r>
      <w:proofErr w:type="gramEnd"/>
      <w:r w:rsidRPr="00D010B7">
        <w:rPr>
          <w:rFonts w:ascii="Symbol" w:hAnsi="Symbol"/>
        </w:rPr>
        <w:t></w:t>
      </w:r>
      <w:r w:rsidRPr="00D010B7">
        <w:rPr>
          <w:lang w:val="es-EC"/>
        </w:rPr>
        <w:t>,</w:t>
      </w:r>
      <w:r w:rsidRPr="00D010B7">
        <w:rPr>
          <w:rFonts w:ascii="Symbol" w:hAnsi="Symbol"/>
        </w:rPr>
        <w:t></w:t>
      </w:r>
      <w:r w:rsidRPr="00D010B7">
        <w:rPr>
          <w:lang w:val="es-EC"/>
        </w:rPr>
        <w:t>)), la RA e impedancia de entrada del irradiador (</w:t>
      </w:r>
      <w:proofErr w:type="spellStart"/>
      <w:r w:rsidRPr="00D010B7">
        <w:rPr>
          <w:lang w:val="es-EC"/>
        </w:rPr>
        <w:t>Zin</w:t>
      </w:r>
      <w:proofErr w:type="spellEnd"/>
      <w:r w:rsidRPr="00D010B7">
        <w:rPr>
          <w:lang w:val="es-EC"/>
        </w:rPr>
        <w:t xml:space="preserve">). En la sección IV se muestran la geometría final y los resultados optimizados de la razón axial (RA), los diagramas de </w:t>
      </w:r>
      <w:proofErr w:type="gramStart"/>
      <w:r w:rsidRPr="001007AC">
        <w:rPr>
          <w:i/>
          <w:lang w:val="es-EC"/>
        </w:rPr>
        <w:t>D</w:t>
      </w:r>
      <w:r w:rsidRPr="00D010B7">
        <w:rPr>
          <w:lang w:val="es-EC"/>
        </w:rPr>
        <w:t>(</w:t>
      </w:r>
      <w:proofErr w:type="gramEnd"/>
      <w:r w:rsidRPr="00D010B7">
        <w:rPr>
          <w:rFonts w:ascii="Symbol" w:hAnsi="Symbol"/>
        </w:rPr>
        <w:t></w:t>
      </w:r>
      <w:r w:rsidRPr="00D010B7">
        <w:rPr>
          <w:lang w:val="es-EC"/>
        </w:rPr>
        <w:t>,</w:t>
      </w:r>
      <w:r w:rsidRPr="00D010B7">
        <w:rPr>
          <w:rFonts w:ascii="Symbol" w:hAnsi="Symbol"/>
        </w:rPr>
        <w:t></w:t>
      </w:r>
      <w:r w:rsidRPr="00D010B7">
        <w:rPr>
          <w:lang w:val="es-EC"/>
        </w:rPr>
        <w:t xml:space="preserve">) y </w:t>
      </w:r>
      <w:proofErr w:type="spellStart"/>
      <w:r w:rsidRPr="00D010B7">
        <w:rPr>
          <w:lang w:val="es-EC"/>
        </w:rPr>
        <w:t>Zin</w:t>
      </w:r>
      <w:proofErr w:type="spellEnd"/>
      <w:r w:rsidRPr="00D010B7">
        <w:rPr>
          <w:lang w:val="es-EC"/>
        </w:rPr>
        <w:t xml:space="preserve"> de la antena. Adicionalmente, se relacionan los temas que serán tratados en </w:t>
      </w:r>
      <w:r w:rsidR="006C12B9">
        <w:rPr>
          <w:lang w:val="es-EC"/>
        </w:rPr>
        <w:t>trabajos</w:t>
      </w:r>
      <w:r w:rsidRPr="00D010B7">
        <w:rPr>
          <w:lang w:val="es-EC"/>
        </w:rPr>
        <w:t xml:space="preserve"> futuros. Finalmente, las conclusiones son presentadas en la sección V de este artículo.</w:t>
      </w:r>
    </w:p>
    <w:p w14:paraId="1894856F" w14:textId="56993716" w:rsidR="00D010B7" w:rsidRPr="00D010B7" w:rsidRDefault="00D010B7" w:rsidP="00D010B7">
      <w:pPr>
        <w:pStyle w:val="Ttulo1"/>
        <w:rPr>
          <w:lang w:val="es-EC"/>
        </w:rPr>
      </w:pPr>
      <w:r w:rsidRPr="00D010B7">
        <w:rPr>
          <w:lang w:val="es-EC"/>
        </w:rPr>
        <w:t>Uso Del Modelo De La Cavidad Equivalente Para Diseñar La Geometría Inicial De La Antena</w:t>
      </w:r>
    </w:p>
    <w:p w14:paraId="14CFB3B1" w14:textId="428DDFC3" w:rsidR="00D010B7" w:rsidRPr="00D010B7" w:rsidRDefault="00D010B7" w:rsidP="00D010B7">
      <w:pPr>
        <w:pStyle w:val="Text"/>
        <w:rPr>
          <w:lang w:val="es-EC"/>
        </w:rPr>
      </w:pPr>
      <w:r w:rsidRPr="00D010B7">
        <w:rPr>
          <w:lang w:val="es-EC"/>
        </w:rPr>
        <w:t>El objetivo de este trabajo es mostrar el diseño, simulación y optimización de una antena de microcinta, circularmente polarizada</w:t>
      </w:r>
      <w:r w:rsidR="006C12B9">
        <w:rPr>
          <w:lang w:val="es-EC"/>
        </w:rPr>
        <w:t>,</w:t>
      </w:r>
      <w:r w:rsidRPr="00D010B7">
        <w:rPr>
          <w:lang w:val="es-EC"/>
        </w:rPr>
        <w:t xml:space="preserve"> que será integrada al sistema de adquisición y control de actitud de un microsatélite. El paso inicial es la selección del material (laminado de microondas) que será usado. De entre los posibles laminados de microondas se decidió usar el TMM10i de la empresa Roger [10]. Sus principales características son presentadas en la Tabla </w:t>
      </w:r>
      <w:r w:rsidR="00C00797">
        <w:rPr>
          <w:lang w:val="es-EC"/>
        </w:rPr>
        <w:t>I</w:t>
      </w:r>
      <w:r w:rsidRPr="00D010B7">
        <w:rPr>
          <w:lang w:val="es-EC"/>
        </w:rPr>
        <w:t>.</w:t>
      </w:r>
    </w:p>
    <w:p w14:paraId="309BC895" w14:textId="7F2D41E6" w:rsidR="00D010B7" w:rsidRPr="00D010B7" w:rsidRDefault="00D010B7" w:rsidP="00D010B7">
      <w:pPr>
        <w:pStyle w:val="Text"/>
        <w:rPr>
          <w:lang w:val="es-EC"/>
        </w:rPr>
      </w:pPr>
      <w:r w:rsidRPr="00D010B7">
        <w:rPr>
          <w:lang w:val="es-EC"/>
        </w:rPr>
        <w:t xml:space="preserve">La selección del tipo de material se debió, principalmente, a ser un material cerámico, presentar un elevado </w:t>
      </w:r>
      <w:r w:rsidRPr="00D010B7">
        <w:rPr>
          <w:rFonts w:ascii="Symbol" w:hAnsi="Symbol"/>
        </w:rPr>
        <w:t></w:t>
      </w:r>
      <w:r w:rsidRPr="006C12B9">
        <w:rPr>
          <w:i/>
          <w:vertAlign w:val="subscript"/>
          <w:lang w:val="es-EC"/>
        </w:rPr>
        <w:t>r</w:t>
      </w:r>
      <w:r w:rsidRPr="00D010B7">
        <w:rPr>
          <w:lang w:val="es-EC"/>
        </w:rPr>
        <w:t xml:space="preserve"> - que permite miniaturizar el irradiador, su baja tangente de perdida y porque el </w:t>
      </w:r>
      <w:r w:rsidRPr="00D010B7">
        <w:rPr>
          <w:rFonts w:ascii="Symbol" w:hAnsi="Symbol"/>
        </w:rPr>
        <w:t></w:t>
      </w:r>
      <w:r w:rsidRPr="006C12B9">
        <w:rPr>
          <w:i/>
          <w:vertAlign w:val="subscript"/>
          <w:lang w:val="es-EC"/>
        </w:rPr>
        <w:t>r</w:t>
      </w:r>
      <w:r w:rsidRPr="00D010B7">
        <w:rPr>
          <w:lang w:val="es-EC"/>
        </w:rPr>
        <w:t xml:space="preserve"> presenta una estabilidad de -43 ppm/</w:t>
      </w:r>
      <w:proofErr w:type="spellStart"/>
      <w:r w:rsidRPr="00D010B7">
        <w:rPr>
          <w:lang w:val="es-EC"/>
        </w:rPr>
        <w:t>oK</w:t>
      </w:r>
      <w:proofErr w:type="spellEnd"/>
      <w:r w:rsidRPr="00D010B7">
        <w:rPr>
          <w:lang w:val="es-EC"/>
        </w:rPr>
        <w:t xml:space="preserve"> entre -55ºC a 125ºC, que es el rango de temperatura requerida para el sector de aeroespacial.</w:t>
      </w:r>
    </w:p>
    <w:p w14:paraId="51148197" w14:textId="340509B4" w:rsidR="00D010B7" w:rsidRPr="00E63FDF" w:rsidRDefault="00D010B7" w:rsidP="00D010B7">
      <w:pPr>
        <w:pStyle w:val="TableTitle"/>
        <w:spacing w:before="240"/>
        <w:rPr>
          <w:sz w:val="18"/>
          <w:szCs w:val="18"/>
          <w:lang w:val="es-EC"/>
        </w:rPr>
      </w:pPr>
      <w:r w:rsidRPr="00E63FDF">
        <w:rPr>
          <w:sz w:val="18"/>
          <w:szCs w:val="18"/>
          <w:lang w:val="es-EC"/>
        </w:rPr>
        <w:lastRenderedPageBreak/>
        <w:t>Tabl</w:t>
      </w:r>
      <w:r w:rsidR="009B1BA8">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807771">
        <w:rPr>
          <w:noProof/>
          <w:sz w:val="18"/>
          <w:szCs w:val="18"/>
          <w:lang w:val="es-EC"/>
        </w:rPr>
        <w:t>I</w:t>
      </w:r>
      <w:r w:rsidRPr="00196BAE">
        <w:rPr>
          <w:sz w:val="18"/>
          <w:szCs w:val="18"/>
          <w:lang w:val="es-EC"/>
        </w:rPr>
        <w:fldChar w:fldCharType="end"/>
      </w:r>
    </w:p>
    <w:p w14:paraId="1ABC6FAD" w14:textId="7A229D34" w:rsidR="00D010B7" w:rsidRPr="00D010B7" w:rsidRDefault="00D010B7" w:rsidP="00D010B7">
      <w:pPr>
        <w:pStyle w:val="TableTitle"/>
        <w:rPr>
          <w:sz w:val="18"/>
          <w:szCs w:val="18"/>
          <w:lang w:val="es-EC"/>
        </w:rPr>
      </w:pPr>
      <w:r w:rsidRPr="00D010B7">
        <w:rPr>
          <w:sz w:val="18"/>
          <w:szCs w:val="18"/>
          <w:lang w:val="es-EC"/>
        </w:rPr>
        <w:t>Características eléctricas del laminado TMM10i [10]</w:t>
      </w:r>
    </w:p>
    <w:tbl>
      <w:tblPr>
        <w:tblStyle w:val="Tablaconcuadrcula"/>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1033"/>
        <w:gridCol w:w="1003"/>
        <w:gridCol w:w="1082"/>
        <w:gridCol w:w="924"/>
      </w:tblGrid>
      <w:tr w:rsidR="00D010B7" w:rsidRPr="00124DFA" w14:paraId="1C655C8A" w14:textId="77777777" w:rsidTr="00D010B7">
        <w:tc>
          <w:tcPr>
            <w:tcW w:w="988" w:type="dxa"/>
            <w:tcBorders>
              <w:top w:val="double" w:sz="4" w:space="0" w:color="auto"/>
              <w:bottom w:val="single" w:sz="4" w:space="0" w:color="auto"/>
            </w:tcBorders>
          </w:tcPr>
          <w:p w14:paraId="7D9E3020" w14:textId="77777777" w:rsidR="00D010B7" w:rsidRPr="00124DFA" w:rsidRDefault="00D010B7" w:rsidP="00E63FDF">
            <w:pPr>
              <w:pStyle w:val="Text"/>
              <w:ind w:firstLine="0"/>
              <w:rPr>
                <w:color w:val="000000" w:themeColor="text1"/>
                <w:sz w:val="18"/>
                <w:szCs w:val="18"/>
                <w:lang w:val="es-EC"/>
              </w:rPr>
            </w:pPr>
          </w:p>
        </w:tc>
        <w:tc>
          <w:tcPr>
            <w:tcW w:w="1033" w:type="dxa"/>
            <w:tcBorders>
              <w:top w:val="double" w:sz="4" w:space="0" w:color="auto"/>
              <w:bottom w:val="single" w:sz="4" w:space="0" w:color="auto"/>
            </w:tcBorders>
            <w:vAlign w:val="center"/>
          </w:tcPr>
          <w:p w14:paraId="38A92B7E"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 xml:space="preserve">Constante dieléctrica </w:t>
            </w:r>
            <w:r w:rsidRPr="006C12B9">
              <w:rPr>
                <w:rFonts w:ascii="Symbol" w:hAnsi="Symbol"/>
                <w:iCs/>
                <w:color w:val="000000" w:themeColor="text1"/>
                <w:sz w:val="18"/>
                <w:szCs w:val="18"/>
                <w:lang w:val="es-EC"/>
              </w:rPr>
              <w:t></w:t>
            </w:r>
            <w:r w:rsidRPr="00124DFA">
              <w:rPr>
                <w:i/>
                <w:iCs/>
                <w:color w:val="000000" w:themeColor="text1"/>
                <w:sz w:val="18"/>
                <w:szCs w:val="18"/>
                <w:vertAlign w:val="subscript"/>
                <w:lang w:val="es-EC"/>
              </w:rPr>
              <w:t>r</w:t>
            </w:r>
          </w:p>
        </w:tc>
        <w:tc>
          <w:tcPr>
            <w:tcW w:w="1003" w:type="dxa"/>
            <w:tcBorders>
              <w:top w:val="double" w:sz="4" w:space="0" w:color="auto"/>
              <w:bottom w:val="single" w:sz="4" w:space="0" w:color="auto"/>
            </w:tcBorders>
            <w:vAlign w:val="center"/>
          </w:tcPr>
          <w:p w14:paraId="4CF661F4"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Tolerancia</w:t>
            </w:r>
          </w:p>
        </w:tc>
        <w:tc>
          <w:tcPr>
            <w:tcW w:w="1082" w:type="dxa"/>
            <w:tcBorders>
              <w:top w:val="double" w:sz="4" w:space="0" w:color="auto"/>
              <w:bottom w:val="single" w:sz="4" w:space="0" w:color="auto"/>
            </w:tcBorders>
            <w:vAlign w:val="center"/>
          </w:tcPr>
          <w:p w14:paraId="2318BE09"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 xml:space="preserve">Tangente de pérdida </w:t>
            </w:r>
            <w:proofErr w:type="spellStart"/>
            <w:r w:rsidRPr="00124DFA">
              <w:rPr>
                <w:color w:val="000000" w:themeColor="text1"/>
                <w:sz w:val="18"/>
                <w:szCs w:val="18"/>
                <w:lang w:val="es-EC"/>
              </w:rPr>
              <w:t>tg</w:t>
            </w:r>
            <w:proofErr w:type="spellEnd"/>
            <w:r w:rsidRPr="006C12B9">
              <w:rPr>
                <w:rFonts w:ascii="Symbol" w:hAnsi="Symbol"/>
                <w:iCs/>
                <w:color w:val="000000" w:themeColor="text1"/>
                <w:sz w:val="18"/>
                <w:szCs w:val="18"/>
                <w:lang w:val="es-EC"/>
              </w:rPr>
              <w:t></w:t>
            </w:r>
          </w:p>
        </w:tc>
        <w:tc>
          <w:tcPr>
            <w:tcW w:w="924" w:type="dxa"/>
            <w:tcBorders>
              <w:top w:val="double" w:sz="4" w:space="0" w:color="auto"/>
              <w:bottom w:val="single" w:sz="4" w:space="0" w:color="auto"/>
            </w:tcBorders>
            <w:vAlign w:val="center"/>
          </w:tcPr>
          <w:p w14:paraId="073F246F"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 xml:space="preserve">Espesura </w:t>
            </w:r>
            <w:r w:rsidRPr="00124DFA">
              <w:rPr>
                <w:i/>
                <w:iCs/>
                <w:color w:val="000000" w:themeColor="text1"/>
                <w:sz w:val="18"/>
                <w:szCs w:val="18"/>
                <w:lang w:val="es-EC"/>
              </w:rPr>
              <w:t>h</w:t>
            </w:r>
            <w:r w:rsidRPr="00124DFA">
              <w:rPr>
                <w:color w:val="000000" w:themeColor="text1"/>
                <w:sz w:val="18"/>
                <w:szCs w:val="18"/>
                <w:lang w:val="es-EC"/>
              </w:rPr>
              <w:t xml:space="preserve"> [mm]</w:t>
            </w:r>
          </w:p>
        </w:tc>
      </w:tr>
      <w:tr w:rsidR="00D010B7" w:rsidRPr="00124DFA" w14:paraId="11D911EE" w14:textId="77777777" w:rsidTr="00D010B7">
        <w:tc>
          <w:tcPr>
            <w:tcW w:w="988" w:type="dxa"/>
            <w:tcBorders>
              <w:top w:val="single" w:sz="4" w:space="0" w:color="auto"/>
            </w:tcBorders>
          </w:tcPr>
          <w:p w14:paraId="779BE608" w14:textId="77777777" w:rsidR="00D010B7" w:rsidRPr="00124DFA" w:rsidRDefault="00D010B7" w:rsidP="00E63FDF">
            <w:pPr>
              <w:pStyle w:val="Text"/>
              <w:ind w:firstLine="0"/>
              <w:rPr>
                <w:color w:val="000000" w:themeColor="text1"/>
                <w:sz w:val="18"/>
                <w:szCs w:val="18"/>
                <w:lang w:val="es-EC"/>
              </w:rPr>
            </w:pPr>
            <w:r w:rsidRPr="00124DFA">
              <w:rPr>
                <w:color w:val="000000" w:themeColor="text1"/>
                <w:sz w:val="18"/>
                <w:szCs w:val="18"/>
                <w:lang w:val="es-EC"/>
              </w:rPr>
              <w:t>TMM10i</w:t>
            </w:r>
          </w:p>
        </w:tc>
        <w:tc>
          <w:tcPr>
            <w:tcW w:w="1033" w:type="dxa"/>
            <w:tcBorders>
              <w:top w:val="single" w:sz="4" w:space="0" w:color="auto"/>
            </w:tcBorders>
          </w:tcPr>
          <w:p w14:paraId="32D4C12F" w14:textId="49240EEC" w:rsidR="00D010B7" w:rsidRPr="00124DFA" w:rsidRDefault="00D010B7" w:rsidP="00807771">
            <w:pPr>
              <w:pStyle w:val="Text"/>
              <w:ind w:firstLine="0"/>
              <w:jc w:val="center"/>
              <w:rPr>
                <w:color w:val="000000" w:themeColor="text1"/>
                <w:sz w:val="18"/>
                <w:szCs w:val="18"/>
                <w:lang w:val="es-EC"/>
              </w:rPr>
            </w:pPr>
            <w:r w:rsidRPr="00124DFA">
              <w:rPr>
                <w:color w:val="000000" w:themeColor="text1"/>
                <w:sz w:val="18"/>
                <w:szCs w:val="18"/>
                <w:lang w:val="es-EC"/>
              </w:rPr>
              <w:t>9</w:t>
            </w:r>
            <w:r w:rsidR="00807771">
              <w:rPr>
                <w:color w:val="000000" w:themeColor="text1"/>
                <w:sz w:val="18"/>
                <w:szCs w:val="18"/>
                <w:lang w:val="es-EC"/>
              </w:rPr>
              <w:t>.</w:t>
            </w:r>
            <w:r w:rsidRPr="00124DFA">
              <w:rPr>
                <w:color w:val="000000" w:themeColor="text1"/>
                <w:sz w:val="18"/>
                <w:szCs w:val="18"/>
                <w:lang w:val="es-EC"/>
              </w:rPr>
              <w:t>80</w:t>
            </w:r>
          </w:p>
        </w:tc>
        <w:tc>
          <w:tcPr>
            <w:tcW w:w="1003" w:type="dxa"/>
            <w:tcBorders>
              <w:top w:val="single" w:sz="4" w:space="0" w:color="auto"/>
            </w:tcBorders>
          </w:tcPr>
          <w:p w14:paraId="270400B7"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 0.245</w:t>
            </w:r>
          </w:p>
        </w:tc>
        <w:tc>
          <w:tcPr>
            <w:tcW w:w="1082" w:type="dxa"/>
            <w:tcBorders>
              <w:top w:val="single" w:sz="4" w:space="0" w:color="auto"/>
            </w:tcBorders>
          </w:tcPr>
          <w:p w14:paraId="5F9C41BF" w14:textId="1FB28661" w:rsidR="00D010B7" w:rsidRPr="00124DFA" w:rsidRDefault="00D010B7" w:rsidP="00807771">
            <w:pPr>
              <w:pStyle w:val="Text"/>
              <w:ind w:firstLine="0"/>
              <w:jc w:val="center"/>
              <w:rPr>
                <w:color w:val="000000" w:themeColor="text1"/>
                <w:sz w:val="18"/>
                <w:szCs w:val="18"/>
                <w:lang w:val="es-EC"/>
              </w:rPr>
            </w:pPr>
            <w:r w:rsidRPr="00124DFA">
              <w:rPr>
                <w:color w:val="000000" w:themeColor="text1"/>
                <w:sz w:val="18"/>
                <w:szCs w:val="18"/>
                <w:lang w:val="es-EC"/>
              </w:rPr>
              <w:t>0</w:t>
            </w:r>
            <w:r w:rsidR="00807771">
              <w:rPr>
                <w:color w:val="000000" w:themeColor="text1"/>
                <w:sz w:val="18"/>
                <w:szCs w:val="18"/>
                <w:lang w:val="es-EC"/>
              </w:rPr>
              <w:t>.</w:t>
            </w:r>
            <w:r w:rsidRPr="00124DFA">
              <w:rPr>
                <w:color w:val="000000" w:themeColor="text1"/>
                <w:sz w:val="18"/>
                <w:szCs w:val="18"/>
                <w:lang w:val="es-EC"/>
              </w:rPr>
              <w:t>0020</w:t>
            </w:r>
          </w:p>
        </w:tc>
        <w:tc>
          <w:tcPr>
            <w:tcW w:w="924" w:type="dxa"/>
            <w:tcBorders>
              <w:top w:val="single" w:sz="4" w:space="0" w:color="auto"/>
            </w:tcBorders>
          </w:tcPr>
          <w:p w14:paraId="0893315A" w14:textId="77777777" w:rsidR="00D010B7" w:rsidRPr="00124DFA" w:rsidRDefault="00D010B7" w:rsidP="00E63FDF">
            <w:pPr>
              <w:pStyle w:val="Text"/>
              <w:ind w:firstLine="0"/>
              <w:jc w:val="center"/>
              <w:rPr>
                <w:color w:val="000000" w:themeColor="text1"/>
                <w:sz w:val="18"/>
                <w:szCs w:val="18"/>
                <w:lang w:val="es-EC"/>
              </w:rPr>
            </w:pPr>
            <w:r w:rsidRPr="00124DFA">
              <w:rPr>
                <w:color w:val="000000" w:themeColor="text1"/>
                <w:sz w:val="18"/>
                <w:szCs w:val="18"/>
                <w:lang w:val="es-EC"/>
              </w:rPr>
              <w:t>3.81</w:t>
            </w:r>
          </w:p>
        </w:tc>
      </w:tr>
    </w:tbl>
    <w:p w14:paraId="636ABAD8" w14:textId="77777777" w:rsidR="00D010B7" w:rsidRPr="00D010B7" w:rsidRDefault="00D010B7" w:rsidP="00A23F11">
      <w:pPr>
        <w:pStyle w:val="Text"/>
        <w:rPr>
          <w:lang w:val="es-EC"/>
        </w:rPr>
      </w:pPr>
    </w:p>
    <w:p w14:paraId="108ECB96" w14:textId="3020C084" w:rsidR="00D010B7" w:rsidRPr="00D010B7" w:rsidRDefault="00D010B7" w:rsidP="00A23F11">
      <w:pPr>
        <w:pStyle w:val="Text"/>
        <w:rPr>
          <w:lang w:val="es-EC"/>
        </w:rPr>
      </w:pPr>
      <w:r w:rsidRPr="00D010B7">
        <w:rPr>
          <w:lang w:val="es-EC"/>
        </w:rPr>
        <w:t>Definido el laminado de microondas</w:t>
      </w:r>
      <w:r w:rsidR="006C12B9">
        <w:rPr>
          <w:lang w:val="es-EC"/>
        </w:rPr>
        <w:t>,</w:t>
      </w:r>
      <w:r w:rsidRPr="00D010B7">
        <w:rPr>
          <w:lang w:val="es-EC"/>
        </w:rPr>
        <w:t xml:space="preserve"> la etapa siguiente es definir las características básicas que son necesarias para que la antena de recepción capte la señal de GPS en la banda L1. Como ya fue mencionado</w:t>
      </w:r>
      <w:r w:rsidR="006C12B9">
        <w:rPr>
          <w:lang w:val="es-EC"/>
        </w:rPr>
        <w:t>,</w:t>
      </w:r>
      <w:r w:rsidRPr="00D010B7">
        <w:rPr>
          <w:lang w:val="es-EC"/>
        </w:rPr>
        <w:t xml:space="preserve"> estas son: frecuencia de operación igual a 1,575 GHz, polarización RHCP a derecha, ancho de banda de 15 MHz y razón axial inferior a 3 dB en la banda de operación. Seguidamente, hay que definir el tipo de geometría que será usada para este irradiador. De todas las posibles geometrías disponibles en la literatura especializada [11] se usará la casi cuadrada con un único punto de alimentación en su esquina. La razón para la selección de este tipo de irradiador es por facilidad de construcción. La ilustración de la geometría y de sus parámetros de diseño se </w:t>
      </w:r>
      <w:r w:rsidR="006C12B9">
        <w:rPr>
          <w:lang w:val="es-EC"/>
        </w:rPr>
        <w:t>presenta</w:t>
      </w:r>
      <w:r w:rsidRPr="00D010B7">
        <w:rPr>
          <w:lang w:val="es-EC"/>
        </w:rPr>
        <w:t xml:space="preserve"> en la Fig. 1.</w:t>
      </w:r>
    </w:p>
    <w:p w14:paraId="44ED7A9B" w14:textId="3A024BFA" w:rsidR="00D010B7" w:rsidRPr="00196BAE" w:rsidRDefault="00D010B7" w:rsidP="00D010B7">
      <w:pPr>
        <w:pStyle w:val="Ttulo2"/>
        <w:numPr>
          <w:ilvl w:val="0"/>
          <w:numId w:val="0"/>
        </w:numPr>
        <w:spacing w:before="200"/>
        <w:jc w:val="center"/>
        <w:rPr>
          <w:noProof/>
          <w:lang w:val="es-EC" w:eastAsia="es-EC"/>
        </w:rPr>
      </w:pPr>
      <w:r w:rsidRPr="00124DFA">
        <w:rPr>
          <w:color w:val="000000" w:themeColor="text1"/>
        </w:rPr>
        <w:object w:dxaOrig="8475" w:dyaOrig="5145" w14:anchorId="2C9061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8pt;height:122.6pt" o:ole="">
            <v:imagedata r:id="rId9" o:title=""/>
          </v:shape>
          <o:OLEObject Type="Embed" ProgID="PBrush" ShapeID="_x0000_i1025" DrawAspect="Content" ObjectID="_1817357227" r:id="rId10"/>
        </w:object>
      </w:r>
    </w:p>
    <w:p w14:paraId="658574C2" w14:textId="14FD9E8F" w:rsidR="00D010B7" w:rsidRPr="00933E4D" w:rsidRDefault="00D010B7" w:rsidP="00D010B7">
      <w:pPr>
        <w:pStyle w:val="figurecaption"/>
        <w:rPr>
          <w:lang w:val="es-EC"/>
        </w:rPr>
      </w:pPr>
      <w:r w:rsidRPr="00933E4D">
        <w:rPr>
          <w:lang w:val="es-EC"/>
        </w:rPr>
        <w:t>Geometría y parámetros de la antena de microcinta rectangular. Las dimensiones del patch irradiador son a x b, el punto de alimentación está en la coordenada (</w:t>
      </w:r>
      <w:r w:rsidRPr="00933E4D">
        <w:rPr>
          <w:i/>
          <w:lang w:val="es-EC"/>
        </w:rPr>
        <w:t>x</w:t>
      </w:r>
      <w:r w:rsidRPr="00933E4D">
        <w:rPr>
          <w:lang w:val="es-EC"/>
        </w:rPr>
        <w:t xml:space="preserve">’, </w:t>
      </w:r>
      <w:r w:rsidRPr="00933E4D">
        <w:rPr>
          <w:i/>
          <w:lang w:val="es-EC"/>
        </w:rPr>
        <w:t>y</w:t>
      </w:r>
      <w:r w:rsidRPr="00933E4D">
        <w:rPr>
          <w:lang w:val="es-EC"/>
        </w:rPr>
        <w:t xml:space="preserve">’) y la espesura del dieléctrico es igual a </w:t>
      </w:r>
      <w:r w:rsidRPr="00933E4D">
        <w:rPr>
          <w:i/>
          <w:lang w:val="es-EC"/>
        </w:rPr>
        <w:t>h</w:t>
      </w:r>
      <w:r w:rsidRPr="00933E4D">
        <w:rPr>
          <w:lang w:val="es-EC"/>
        </w:rPr>
        <w:t>.</w:t>
      </w:r>
    </w:p>
    <w:p w14:paraId="14434A66" w14:textId="0E9376DF" w:rsidR="00E63FDF" w:rsidRPr="00E63FDF" w:rsidRDefault="00E63FDF" w:rsidP="00E63FDF">
      <w:pPr>
        <w:pStyle w:val="Text"/>
        <w:rPr>
          <w:lang w:val="es-EC"/>
        </w:rPr>
      </w:pPr>
      <w:r w:rsidRPr="00E63FDF">
        <w:rPr>
          <w:lang w:val="es-EC"/>
        </w:rPr>
        <w:t xml:space="preserve">Observando el gráfico de la Fig. 1 se puede intuir que la antena puede ser aproximada a una cavidad formada por dos paredes eléctricas perfectas – constituidas por el </w:t>
      </w:r>
      <w:proofErr w:type="spellStart"/>
      <w:r w:rsidRPr="00E63FDF">
        <w:rPr>
          <w:lang w:val="es-EC"/>
        </w:rPr>
        <w:t>patch</w:t>
      </w:r>
      <w:proofErr w:type="spellEnd"/>
      <w:r w:rsidRPr="00E63FDF">
        <w:rPr>
          <w:lang w:val="es-EC"/>
        </w:rPr>
        <w:t xml:space="preserve"> de dimensiones </w:t>
      </w:r>
      <w:r w:rsidRPr="00E63FDF">
        <w:rPr>
          <w:i/>
          <w:lang w:val="es-EC"/>
        </w:rPr>
        <w:t>a</w:t>
      </w:r>
      <w:r w:rsidRPr="00E63FDF">
        <w:rPr>
          <w:lang w:val="es-EC"/>
        </w:rPr>
        <w:t xml:space="preserve"> </w:t>
      </w:r>
      <w:r>
        <w:rPr>
          <w:lang w:val="es-EC"/>
        </w:rPr>
        <w:t xml:space="preserve">× </w:t>
      </w:r>
      <w:r w:rsidRPr="00E63FDF">
        <w:rPr>
          <w:i/>
          <w:lang w:val="es-EC"/>
        </w:rPr>
        <w:t>b</w:t>
      </w:r>
      <w:r w:rsidRPr="00E63FDF">
        <w:rPr>
          <w:lang w:val="es-EC"/>
        </w:rPr>
        <w:t xml:space="preserve"> y su proyección sobre el plano de tierra – y cuatro paredes magnéticas perfectas posicionadas sobre el perímetro del </w:t>
      </w:r>
      <w:proofErr w:type="spellStart"/>
      <w:r w:rsidRPr="00E63FDF">
        <w:rPr>
          <w:lang w:val="es-EC"/>
        </w:rPr>
        <w:t>patch</w:t>
      </w:r>
      <w:proofErr w:type="spellEnd"/>
      <w:r w:rsidRPr="00E63FDF">
        <w:rPr>
          <w:lang w:val="es-EC"/>
        </w:rPr>
        <w:t xml:space="preserve"> con altura </w:t>
      </w:r>
      <w:r w:rsidRPr="00E63FDF">
        <w:rPr>
          <w:i/>
          <w:lang w:val="es-EC"/>
        </w:rPr>
        <w:t>h</w:t>
      </w:r>
      <w:r w:rsidRPr="00E63FDF">
        <w:rPr>
          <w:lang w:val="es-EC"/>
        </w:rPr>
        <w:t>. En esta cavidad, internamente, tenemos el dieléctrico que forma parte del laminado TMM10i y cuyas características fueron presentadas en la Tab</w:t>
      </w:r>
      <w:r>
        <w:rPr>
          <w:lang w:val="es-EC"/>
        </w:rPr>
        <w:t>la</w:t>
      </w:r>
      <w:r w:rsidRPr="00E63FDF">
        <w:rPr>
          <w:lang w:val="es-EC"/>
        </w:rPr>
        <w:t xml:space="preserve"> </w:t>
      </w:r>
      <w:r w:rsidR="00C00797">
        <w:rPr>
          <w:lang w:val="es-EC"/>
        </w:rPr>
        <w:t>I</w:t>
      </w:r>
      <w:r w:rsidRPr="00E63FDF">
        <w:rPr>
          <w:lang w:val="es-EC"/>
        </w:rPr>
        <w:t>. El punto de alimentación, en este gráfico, está posicionado en las coordenadas (</w:t>
      </w:r>
      <w:r w:rsidRPr="00E63FDF">
        <w:rPr>
          <w:i/>
          <w:lang w:val="es-EC"/>
        </w:rPr>
        <w:t>x</w:t>
      </w:r>
      <w:r w:rsidRPr="00E63FDF">
        <w:rPr>
          <w:lang w:val="es-EC"/>
        </w:rPr>
        <w:t xml:space="preserve">’, </w:t>
      </w:r>
      <w:r w:rsidRPr="00E63FDF">
        <w:rPr>
          <w:i/>
          <w:lang w:val="es-EC"/>
        </w:rPr>
        <w:t>y</w:t>
      </w:r>
      <w:r w:rsidRPr="00E63FDF">
        <w:rPr>
          <w:lang w:val="es-EC"/>
        </w:rPr>
        <w:t>’) y para este análisis se considerará una punta de prueba coaxial.</w:t>
      </w:r>
    </w:p>
    <w:p w14:paraId="5124E82C" w14:textId="63E05587" w:rsidR="00D010B7" w:rsidRPr="00D010B7" w:rsidRDefault="00E63FDF" w:rsidP="00E63FDF">
      <w:pPr>
        <w:pStyle w:val="Text"/>
        <w:rPr>
          <w:lang w:val="es-EC"/>
        </w:rPr>
      </w:pPr>
      <w:r w:rsidRPr="00E63FDF">
        <w:rPr>
          <w:lang w:val="es-EC"/>
        </w:rPr>
        <w:t xml:space="preserve">  Los profesores Lo y Richards son considerados como los primeros investigadores en proponer la analogía con la cavidad equivalente para estudiar antenas de microcinta (</w:t>
      </w:r>
      <w:proofErr w:type="spellStart"/>
      <w:r w:rsidRPr="00E63FDF">
        <w:rPr>
          <w:lang w:val="es-EC"/>
        </w:rPr>
        <w:t>Microstrip</w:t>
      </w:r>
      <w:proofErr w:type="spellEnd"/>
      <w:r w:rsidRPr="00E63FDF">
        <w:rPr>
          <w:lang w:val="es-EC"/>
        </w:rPr>
        <w:t xml:space="preserve"> </w:t>
      </w:r>
      <w:proofErr w:type="spellStart"/>
      <w:r w:rsidRPr="00E63FDF">
        <w:rPr>
          <w:lang w:val="es-EC"/>
        </w:rPr>
        <w:t>anntenas</w:t>
      </w:r>
      <w:proofErr w:type="spellEnd"/>
      <w:r w:rsidRPr="00E63FDF">
        <w:rPr>
          <w:lang w:val="es-EC"/>
        </w:rPr>
        <w:t>) [12]. A partir de esa propuesta</w:t>
      </w:r>
      <w:r w:rsidR="006C12B9">
        <w:rPr>
          <w:lang w:val="es-EC"/>
        </w:rPr>
        <w:t>, expresiones para los modos de propagación, impedancia de entrada y eficiencia de irradiación fueron propuestas para varias geometrías canónicas básicas,</w:t>
      </w:r>
      <w:r w:rsidRPr="00E63FDF">
        <w:rPr>
          <w:lang w:val="es-EC"/>
        </w:rPr>
        <w:t xml:space="preserve"> como la rectangular, triangular, circular, entre otras. Con el objetivo de tornar el texto </w:t>
      </w:r>
      <w:proofErr w:type="spellStart"/>
      <w:r w:rsidR="006C12B9">
        <w:rPr>
          <w:lang w:val="es-EC"/>
        </w:rPr>
        <w:t>autcontenido</w:t>
      </w:r>
      <w:proofErr w:type="spellEnd"/>
      <w:r w:rsidRPr="00E63FDF">
        <w:rPr>
          <w:lang w:val="es-EC"/>
        </w:rPr>
        <w:t xml:space="preserve"> se presentan, a continuación, las expresiones usadas para caracterizar el campo eléctrico de los modos de propagación </w:t>
      </w:r>
      <w:proofErr w:type="spellStart"/>
      <w:r w:rsidRPr="00E63FDF">
        <w:rPr>
          <w:lang w:val="es-EC"/>
        </w:rPr>
        <w:t>TM</w:t>
      </w:r>
      <w:r w:rsidRPr="00E63FDF">
        <w:rPr>
          <w:vertAlign w:val="subscript"/>
          <w:lang w:val="es-EC"/>
        </w:rPr>
        <w:t>mn</w:t>
      </w:r>
      <w:proofErr w:type="spellEnd"/>
      <w:r w:rsidRPr="00E63FDF">
        <w:rPr>
          <w:lang w:val="es-EC"/>
        </w:rPr>
        <w:t xml:space="preserve">, la impedancia de entrada y los </w:t>
      </w:r>
      <w:r w:rsidRPr="00E63FDF">
        <w:rPr>
          <w:lang w:val="es-EC"/>
        </w:rPr>
        <w:lastRenderedPageBreak/>
        <w:t xml:space="preserve">campos eléctricos distantes en los planos principales [13]. Iniciemos con las expresiones del campo </w:t>
      </w:r>
      <w:r w:rsidRPr="00E63FDF">
        <w:rPr>
          <w:i/>
          <w:lang w:val="es-EC"/>
        </w:rPr>
        <w:t>E</w:t>
      </w:r>
      <w:r w:rsidRPr="00E63FDF">
        <w:rPr>
          <w:i/>
          <w:vertAlign w:val="subscript"/>
          <w:lang w:val="es-EC"/>
        </w:rPr>
        <w:t>z</w:t>
      </w:r>
      <w:r w:rsidRPr="00E63FDF">
        <w:rPr>
          <w:lang w:val="es-EC"/>
        </w:rPr>
        <w:t>(</w:t>
      </w:r>
      <w:r w:rsidRPr="00E63FDF">
        <w:rPr>
          <w:i/>
          <w:lang w:val="es-EC"/>
        </w:rPr>
        <w:t>x</w:t>
      </w:r>
      <w:r w:rsidRPr="00E63FDF">
        <w:rPr>
          <w:lang w:val="es-EC"/>
        </w:rPr>
        <w:t>,</w:t>
      </w:r>
      <w:r>
        <w:rPr>
          <w:lang w:val="es-EC"/>
        </w:rPr>
        <w:t xml:space="preserve"> </w:t>
      </w:r>
      <w:r w:rsidRPr="00E63FDF">
        <w:rPr>
          <w:i/>
          <w:lang w:val="es-EC"/>
        </w:rPr>
        <w:t>y</w:t>
      </w:r>
      <w:r w:rsidRPr="00E63FDF">
        <w:rPr>
          <w:lang w:val="es-EC"/>
        </w:rPr>
        <w:t xml:space="preserve">) para los modos </w:t>
      </w:r>
      <w:proofErr w:type="spellStart"/>
      <w:r w:rsidRPr="00E63FDF">
        <w:rPr>
          <w:lang w:val="es-EC"/>
        </w:rPr>
        <w:t>TM</w:t>
      </w:r>
      <w:r w:rsidRPr="00E63FDF">
        <w:rPr>
          <w:vertAlign w:val="subscript"/>
          <w:lang w:val="es-EC"/>
        </w:rPr>
        <w:t>mn</w:t>
      </w:r>
      <w:proofErr w:type="spellEnd"/>
      <w:r w:rsidRPr="00E63FDF">
        <w:rPr>
          <w:lang w:val="es-EC"/>
        </w:rPr>
        <w:t>.</w:t>
      </w:r>
    </w:p>
    <w:p w14:paraId="70BF4460" w14:textId="77777777" w:rsidR="00E63FDF" w:rsidRPr="00807771" w:rsidRDefault="00E63FDF" w:rsidP="00E63FDF">
      <w:pPr>
        <w:pStyle w:val="MTDisplayEquation"/>
        <w:spacing w:before="120"/>
        <w:rPr>
          <w:lang w:val="es-EC"/>
        </w:rPr>
      </w:pPr>
      <w:r w:rsidRPr="00E63FDF">
        <w:rPr>
          <w:lang w:val="es-EC"/>
        </w:rPr>
        <w:tab/>
      </w:r>
      <w:r w:rsidR="00933E4D" w:rsidRPr="00E63FDF">
        <w:rPr>
          <w:position w:val="-30"/>
          <w:lang w:val="es-EC"/>
        </w:rPr>
        <w:object w:dxaOrig="2600" w:dyaOrig="700" w14:anchorId="4B1B48A8">
          <v:shape id="_x0000_i1026" type="#_x0000_t75" style="width:130.45pt;height:33.5pt" o:ole="">
            <v:imagedata r:id="rId11" o:title=""/>
          </v:shape>
          <o:OLEObject Type="Embed" ProgID="Equation.DSMT4" ShapeID="_x0000_i1026" DrawAspect="Content" ObjectID="_1817357228" r:id="rId12"/>
        </w:object>
      </w:r>
      <w:r w:rsidRPr="00807771">
        <w:rPr>
          <w:lang w:val="es-EC"/>
        </w:rPr>
        <w:t xml:space="preserve"> </w:t>
      </w:r>
      <w:r w:rsidRPr="00807771">
        <w:rPr>
          <w:lang w:val="es-EC"/>
        </w:rPr>
        <w:tab/>
      </w:r>
      <w:r w:rsidRPr="004123DA">
        <w:rPr>
          <w:lang w:val="es-EC"/>
        </w:rPr>
        <w:fldChar w:fldCharType="begin"/>
      </w:r>
      <w:r w:rsidRPr="00807771">
        <w:rPr>
          <w:lang w:val="es-EC"/>
        </w:rPr>
        <w:instrText xml:space="preserve"> MACROBUTTON MTPlaceRef \* MERGEFORMAT </w:instrText>
      </w:r>
      <w:r w:rsidRPr="004123DA">
        <w:rPr>
          <w:lang w:val="es-EC"/>
        </w:rPr>
        <w:fldChar w:fldCharType="begin"/>
      </w:r>
      <w:r w:rsidRPr="00807771">
        <w:rPr>
          <w:lang w:val="es-EC"/>
        </w:rPr>
        <w:instrText xml:space="preserve"> SEQ MTEqn \h \* MERGEFORMAT </w:instrText>
      </w:r>
      <w:r w:rsidRPr="004123DA">
        <w:rPr>
          <w:lang w:val="es-EC"/>
        </w:rPr>
        <w:fldChar w:fldCharType="end"/>
      </w:r>
      <w:r w:rsidRPr="00807771">
        <w:rPr>
          <w:lang w:val="es-EC"/>
        </w:rPr>
        <w:instrText>(</w:instrText>
      </w:r>
      <w:r w:rsidRPr="004123DA">
        <w:rPr>
          <w:lang w:val="es-EC"/>
        </w:rPr>
        <w:fldChar w:fldCharType="begin"/>
      </w:r>
      <w:r w:rsidRPr="00807771">
        <w:rPr>
          <w:lang w:val="es-EC"/>
        </w:rPr>
        <w:instrText xml:space="preserve"> SEQ MTEqn \c \* Arabic \* MERGEFORMAT </w:instrText>
      </w:r>
      <w:r w:rsidRPr="004123DA">
        <w:rPr>
          <w:lang w:val="es-EC"/>
        </w:rPr>
        <w:fldChar w:fldCharType="separate"/>
      </w:r>
      <w:r w:rsidR="00807771">
        <w:rPr>
          <w:noProof/>
          <w:lang w:val="es-EC"/>
        </w:rPr>
        <w:instrText>1</w:instrText>
      </w:r>
      <w:r w:rsidRPr="004123DA">
        <w:rPr>
          <w:noProof/>
          <w:lang w:val="es-EC"/>
        </w:rPr>
        <w:fldChar w:fldCharType="end"/>
      </w:r>
      <w:r w:rsidRPr="00807771">
        <w:rPr>
          <w:lang w:val="es-EC"/>
        </w:rPr>
        <w:instrText>)</w:instrText>
      </w:r>
      <w:r w:rsidRPr="004123DA">
        <w:rPr>
          <w:lang w:val="es-EC"/>
        </w:rPr>
        <w:fldChar w:fldCharType="end"/>
      </w:r>
    </w:p>
    <w:p w14:paraId="0FEBC00C" w14:textId="55832F0F" w:rsidR="00D010B7" w:rsidRPr="00D010B7" w:rsidRDefault="00E63FDF" w:rsidP="00E63FDF">
      <w:pPr>
        <w:pStyle w:val="Text"/>
        <w:ind w:firstLine="0"/>
        <w:rPr>
          <w:lang w:val="es-EC"/>
        </w:rPr>
      </w:pPr>
      <w:r>
        <w:rPr>
          <w:lang w:val="es-EC"/>
        </w:rPr>
        <w:t>donde:</w:t>
      </w:r>
    </w:p>
    <w:p w14:paraId="62333A97" w14:textId="77777777" w:rsidR="00D010B7" w:rsidRPr="00D010B7" w:rsidRDefault="00D010B7" w:rsidP="00A23F11">
      <w:pPr>
        <w:pStyle w:val="Text"/>
        <w:rPr>
          <w:lang w:val="es-EC"/>
        </w:rPr>
      </w:pPr>
    </w:p>
    <w:p w14:paraId="518036D5" w14:textId="77777777" w:rsidR="00E63FDF" w:rsidRPr="00E63FDF" w:rsidRDefault="00E63FDF" w:rsidP="00E63FDF">
      <w:pPr>
        <w:pStyle w:val="MTDisplayEquation"/>
        <w:spacing w:before="120"/>
        <w:rPr>
          <w:lang w:val="es-EC"/>
        </w:rPr>
      </w:pPr>
      <w:r w:rsidRPr="00807771">
        <w:rPr>
          <w:lang w:val="es-EC"/>
        </w:rPr>
        <w:tab/>
      </w:r>
      <w:r w:rsidR="00933E4D" w:rsidRPr="00E63FDF">
        <w:rPr>
          <w:position w:val="-30"/>
          <w:lang w:val="es-EC"/>
        </w:rPr>
        <w:object w:dxaOrig="2900" w:dyaOrig="700" w14:anchorId="3A8D158B">
          <v:shape id="_x0000_i1027" type="#_x0000_t75" style="width:145.45pt;height:33.5pt" o:ole="">
            <v:imagedata r:id="rId13" o:title=""/>
          </v:shape>
          <o:OLEObject Type="Embed" ProgID="Equation.DSMT4" ShapeID="_x0000_i1027" DrawAspect="Content" ObjectID="_1817357229" r:id="rId14"/>
        </w:object>
      </w:r>
      <w:r w:rsidRPr="00E63FDF">
        <w:rPr>
          <w:lang w:val="es-EC"/>
        </w:rPr>
        <w:t xml:space="preserve"> </w:t>
      </w:r>
      <w:r w:rsidRPr="00E63FDF">
        <w:rPr>
          <w:lang w:val="es-EC"/>
        </w:rPr>
        <w:tab/>
      </w:r>
      <w:r w:rsidRPr="004123DA">
        <w:rPr>
          <w:lang w:val="es-EC"/>
        </w:rPr>
        <w:fldChar w:fldCharType="begin"/>
      </w:r>
      <w:r w:rsidRPr="00E63FDF">
        <w:rPr>
          <w:lang w:val="es-EC"/>
        </w:rPr>
        <w:instrText xml:space="preserve"> MACROBUTTON MTPlaceRef \* MERGEFORMAT </w:instrText>
      </w:r>
      <w:r w:rsidRPr="004123DA">
        <w:rPr>
          <w:lang w:val="es-EC"/>
        </w:rPr>
        <w:fldChar w:fldCharType="begin"/>
      </w:r>
      <w:r w:rsidRPr="00E63FDF">
        <w:rPr>
          <w:lang w:val="es-EC"/>
        </w:rPr>
        <w:instrText xml:space="preserve"> SEQ MTEqn \h \* MERGEFORMAT </w:instrText>
      </w:r>
      <w:r w:rsidRPr="004123DA">
        <w:rPr>
          <w:lang w:val="es-EC"/>
        </w:rPr>
        <w:fldChar w:fldCharType="end"/>
      </w:r>
      <w:r w:rsidRPr="00E63FDF">
        <w:rPr>
          <w:lang w:val="es-EC"/>
        </w:rPr>
        <w:instrText>(</w:instrText>
      </w:r>
      <w:r w:rsidRPr="004123DA">
        <w:rPr>
          <w:lang w:val="es-EC"/>
        </w:rPr>
        <w:fldChar w:fldCharType="begin"/>
      </w:r>
      <w:r w:rsidRPr="00E63FDF">
        <w:rPr>
          <w:lang w:val="es-EC"/>
        </w:rPr>
        <w:instrText xml:space="preserve"> SEQ MTEqn \c \* Arabic \* MERGEFORMAT </w:instrText>
      </w:r>
      <w:r w:rsidRPr="004123DA">
        <w:rPr>
          <w:lang w:val="es-EC"/>
        </w:rPr>
        <w:fldChar w:fldCharType="separate"/>
      </w:r>
      <w:r w:rsidR="00807771">
        <w:rPr>
          <w:noProof/>
          <w:lang w:val="es-EC"/>
        </w:rPr>
        <w:instrText>2</w:instrText>
      </w:r>
      <w:r w:rsidRPr="004123DA">
        <w:rPr>
          <w:noProof/>
          <w:lang w:val="es-EC"/>
        </w:rPr>
        <w:fldChar w:fldCharType="end"/>
      </w:r>
      <w:r w:rsidRPr="00E63FDF">
        <w:rPr>
          <w:lang w:val="es-EC"/>
        </w:rPr>
        <w:instrText>)</w:instrText>
      </w:r>
      <w:r w:rsidRPr="004123DA">
        <w:rPr>
          <w:lang w:val="es-EC"/>
        </w:rPr>
        <w:fldChar w:fldCharType="end"/>
      </w:r>
    </w:p>
    <w:p w14:paraId="115E1327" w14:textId="77777777" w:rsidR="00E63FDF" w:rsidRPr="00E63FDF" w:rsidRDefault="00E63FDF" w:rsidP="00E63FDF">
      <w:pPr>
        <w:pStyle w:val="MTDisplayEquation"/>
        <w:spacing w:before="120"/>
        <w:rPr>
          <w:lang w:val="es-EC"/>
        </w:rPr>
      </w:pPr>
      <w:r w:rsidRPr="00E63FDF">
        <w:rPr>
          <w:lang w:val="es-EC"/>
        </w:rPr>
        <w:tab/>
      </w:r>
      <w:r w:rsidR="00933E4D" w:rsidRPr="00E63FDF">
        <w:rPr>
          <w:position w:val="-30"/>
          <w:lang w:val="es-EC"/>
        </w:rPr>
        <w:object w:dxaOrig="2799" w:dyaOrig="700" w14:anchorId="3EC47234">
          <v:shape id="_x0000_i1028" type="#_x0000_t75" style="width:140.45pt;height:33.5pt" o:ole="">
            <v:imagedata r:id="rId15" o:title=""/>
          </v:shape>
          <o:OLEObject Type="Embed" ProgID="Equation.DSMT4" ShapeID="_x0000_i1028" DrawAspect="Content" ObjectID="_1817357230" r:id="rId16"/>
        </w:object>
      </w:r>
      <w:r w:rsidRPr="00E63FDF">
        <w:rPr>
          <w:lang w:val="es-EC"/>
        </w:rPr>
        <w:t xml:space="preserve"> </w:t>
      </w:r>
      <w:r w:rsidRPr="00E63FDF">
        <w:rPr>
          <w:lang w:val="es-EC"/>
        </w:rPr>
        <w:tab/>
      </w:r>
      <w:r w:rsidRPr="004123DA">
        <w:rPr>
          <w:lang w:val="es-EC"/>
        </w:rPr>
        <w:fldChar w:fldCharType="begin"/>
      </w:r>
      <w:r w:rsidRPr="00E63FDF">
        <w:rPr>
          <w:lang w:val="es-EC"/>
        </w:rPr>
        <w:instrText xml:space="preserve"> MACROBUTTON MTPlaceRef \* MERGEFORMAT </w:instrText>
      </w:r>
      <w:r w:rsidRPr="004123DA">
        <w:rPr>
          <w:lang w:val="es-EC"/>
        </w:rPr>
        <w:fldChar w:fldCharType="begin"/>
      </w:r>
      <w:r w:rsidRPr="00E63FDF">
        <w:rPr>
          <w:lang w:val="es-EC"/>
        </w:rPr>
        <w:instrText xml:space="preserve"> SEQ MTEqn \h \* MERGEFORMAT </w:instrText>
      </w:r>
      <w:r w:rsidRPr="004123DA">
        <w:rPr>
          <w:lang w:val="es-EC"/>
        </w:rPr>
        <w:fldChar w:fldCharType="end"/>
      </w:r>
      <w:r w:rsidRPr="00E63FDF">
        <w:rPr>
          <w:lang w:val="es-EC"/>
        </w:rPr>
        <w:instrText>(</w:instrText>
      </w:r>
      <w:r w:rsidRPr="004123DA">
        <w:rPr>
          <w:lang w:val="es-EC"/>
        </w:rPr>
        <w:fldChar w:fldCharType="begin"/>
      </w:r>
      <w:r w:rsidRPr="00E63FDF">
        <w:rPr>
          <w:lang w:val="es-EC"/>
        </w:rPr>
        <w:instrText xml:space="preserve"> SEQ MTEqn \c \* Arabic \* MERGEFORMAT </w:instrText>
      </w:r>
      <w:r w:rsidRPr="004123DA">
        <w:rPr>
          <w:lang w:val="es-EC"/>
        </w:rPr>
        <w:fldChar w:fldCharType="separate"/>
      </w:r>
      <w:r w:rsidR="00807771">
        <w:rPr>
          <w:noProof/>
          <w:lang w:val="es-EC"/>
        </w:rPr>
        <w:instrText>3</w:instrText>
      </w:r>
      <w:r w:rsidRPr="004123DA">
        <w:rPr>
          <w:noProof/>
          <w:lang w:val="es-EC"/>
        </w:rPr>
        <w:fldChar w:fldCharType="end"/>
      </w:r>
      <w:r w:rsidRPr="00E63FDF">
        <w:rPr>
          <w:lang w:val="es-EC"/>
        </w:rPr>
        <w:instrText>)</w:instrText>
      </w:r>
      <w:r w:rsidRPr="004123DA">
        <w:rPr>
          <w:lang w:val="es-EC"/>
        </w:rPr>
        <w:fldChar w:fldCharType="end"/>
      </w:r>
    </w:p>
    <w:p w14:paraId="784D943E" w14:textId="77777777" w:rsidR="00E63FDF" w:rsidRPr="00E63FDF" w:rsidRDefault="00E63FDF" w:rsidP="00E63FDF">
      <w:pPr>
        <w:pStyle w:val="MTDisplayEquation"/>
        <w:spacing w:before="120"/>
        <w:rPr>
          <w:lang w:val="es-EC"/>
        </w:rPr>
      </w:pPr>
      <w:r w:rsidRPr="00E63FDF">
        <w:rPr>
          <w:lang w:val="es-EC"/>
        </w:rPr>
        <w:tab/>
      </w:r>
      <w:r w:rsidR="00933E4D" w:rsidRPr="00E63FDF">
        <w:rPr>
          <w:position w:val="-14"/>
          <w:lang w:val="es-EC"/>
        </w:rPr>
        <w:object w:dxaOrig="1939" w:dyaOrig="380" w14:anchorId="611185F9">
          <v:shape id="_x0000_i1029" type="#_x0000_t75" style="width:97.65pt;height:18.55pt" o:ole="">
            <v:imagedata r:id="rId17" o:title=""/>
          </v:shape>
          <o:OLEObject Type="Embed" ProgID="Equation.DSMT4" ShapeID="_x0000_i1029" DrawAspect="Content" ObjectID="_1817357231" r:id="rId18"/>
        </w:object>
      </w:r>
      <w:r w:rsidRPr="00E63FDF">
        <w:rPr>
          <w:lang w:val="es-EC"/>
        </w:rPr>
        <w:t xml:space="preserve"> </w:t>
      </w:r>
      <w:r w:rsidRPr="00E63FDF">
        <w:rPr>
          <w:lang w:val="es-EC"/>
        </w:rPr>
        <w:tab/>
      </w:r>
      <w:r w:rsidRPr="004123DA">
        <w:rPr>
          <w:lang w:val="es-EC"/>
        </w:rPr>
        <w:fldChar w:fldCharType="begin"/>
      </w:r>
      <w:r w:rsidRPr="00E63FDF">
        <w:rPr>
          <w:lang w:val="es-EC"/>
        </w:rPr>
        <w:instrText xml:space="preserve"> MACROBUTTON MTPlaceRef \* MERGEFORMAT </w:instrText>
      </w:r>
      <w:r w:rsidRPr="004123DA">
        <w:rPr>
          <w:lang w:val="es-EC"/>
        </w:rPr>
        <w:fldChar w:fldCharType="begin"/>
      </w:r>
      <w:r w:rsidRPr="00E63FDF">
        <w:rPr>
          <w:lang w:val="es-EC"/>
        </w:rPr>
        <w:instrText xml:space="preserve"> SEQ MTEqn \h \* MERGEFORMAT </w:instrText>
      </w:r>
      <w:r w:rsidRPr="004123DA">
        <w:rPr>
          <w:lang w:val="es-EC"/>
        </w:rPr>
        <w:fldChar w:fldCharType="end"/>
      </w:r>
      <w:r w:rsidRPr="00E63FDF">
        <w:rPr>
          <w:lang w:val="es-EC"/>
        </w:rPr>
        <w:instrText>(</w:instrText>
      </w:r>
      <w:r w:rsidRPr="004123DA">
        <w:rPr>
          <w:lang w:val="es-EC"/>
        </w:rPr>
        <w:fldChar w:fldCharType="begin"/>
      </w:r>
      <w:r w:rsidRPr="00E63FDF">
        <w:rPr>
          <w:lang w:val="es-EC"/>
        </w:rPr>
        <w:instrText xml:space="preserve"> SEQ MTEqn \c \* Arabic \* MERGEFORMAT </w:instrText>
      </w:r>
      <w:r w:rsidRPr="004123DA">
        <w:rPr>
          <w:lang w:val="es-EC"/>
        </w:rPr>
        <w:fldChar w:fldCharType="separate"/>
      </w:r>
      <w:r w:rsidR="00807771">
        <w:rPr>
          <w:noProof/>
          <w:lang w:val="es-EC"/>
        </w:rPr>
        <w:instrText>4</w:instrText>
      </w:r>
      <w:r w:rsidRPr="004123DA">
        <w:rPr>
          <w:noProof/>
          <w:lang w:val="es-EC"/>
        </w:rPr>
        <w:fldChar w:fldCharType="end"/>
      </w:r>
      <w:r w:rsidRPr="00E63FDF">
        <w:rPr>
          <w:lang w:val="es-EC"/>
        </w:rPr>
        <w:instrText>)</w:instrText>
      </w:r>
      <w:r w:rsidRPr="004123DA">
        <w:rPr>
          <w:lang w:val="es-EC"/>
        </w:rPr>
        <w:fldChar w:fldCharType="end"/>
      </w:r>
    </w:p>
    <w:p w14:paraId="69FD3536" w14:textId="77777777" w:rsidR="00E63FDF" w:rsidRPr="00E63FDF" w:rsidRDefault="00E63FDF" w:rsidP="00E63FDF">
      <w:pPr>
        <w:pStyle w:val="MTDisplayEquation"/>
        <w:spacing w:before="120"/>
        <w:rPr>
          <w:lang w:val="es-EC"/>
        </w:rPr>
      </w:pPr>
      <w:r w:rsidRPr="00E63FDF">
        <w:rPr>
          <w:lang w:val="es-EC"/>
        </w:rPr>
        <w:tab/>
      </w:r>
      <w:r w:rsidR="00933E4D" w:rsidRPr="00E63FDF">
        <w:rPr>
          <w:position w:val="-16"/>
          <w:lang w:val="es-EC"/>
        </w:rPr>
        <w:object w:dxaOrig="2439" w:dyaOrig="460" w14:anchorId="533D1937">
          <v:shape id="_x0000_i1030" type="#_x0000_t75" style="width:122.6pt;height:22.1pt" o:ole="">
            <v:imagedata r:id="rId19" o:title=""/>
          </v:shape>
          <o:OLEObject Type="Embed" ProgID="Equation.DSMT4" ShapeID="_x0000_i1030" DrawAspect="Content" ObjectID="_1817357232" r:id="rId20"/>
        </w:object>
      </w:r>
      <w:r w:rsidRPr="00E63FDF">
        <w:rPr>
          <w:lang w:val="es-EC"/>
        </w:rPr>
        <w:t xml:space="preserve"> </w:t>
      </w:r>
      <w:r w:rsidRPr="00E63FDF">
        <w:rPr>
          <w:lang w:val="es-EC"/>
        </w:rPr>
        <w:tab/>
      </w:r>
      <w:r w:rsidRPr="004123DA">
        <w:rPr>
          <w:lang w:val="es-EC"/>
        </w:rPr>
        <w:fldChar w:fldCharType="begin"/>
      </w:r>
      <w:r w:rsidRPr="00E63FDF">
        <w:rPr>
          <w:lang w:val="es-EC"/>
        </w:rPr>
        <w:instrText xml:space="preserve"> MACROBUTTON MTPlaceRef \* MERGEFORMAT </w:instrText>
      </w:r>
      <w:r w:rsidRPr="004123DA">
        <w:rPr>
          <w:lang w:val="es-EC"/>
        </w:rPr>
        <w:fldChar w:fldCharType="begin"/>
      </w:r>
      <w:r w:rsidRPr="00E63FDF">
        <w:rPr>
          <w:lang w:val="es-EC"/>
        </w:rPr>
        <w:instrText xml:space="preserve"> SEQ MTEqn \h \* MERGEFORMAT </w:instrText>
      </w:r>
      <w:r w:rsidRPr="004123DA">
        <w:rPr>
          <w:lang w:val="es-EC"/>
        </w:rPr>
        <w:fldChar w:fldCharType="end"/>
      </w:r>
      <w:r w:rsidRPr="00E63FDF">
        <w:rPr>
          <w:lang w:val="es-EC"/>
        </w:rPr>
        <w:instrText>(</w:instrText>
      </w:r>
      <w:r w:rsidRPr="004123DA">
        <w:rPr>
          <w:lang w:val="es-EC"/>
        </w:rPr>
        <w:fldChar w:fldCharType="begin"/>
      </w:r>
      <w:r w:rsidRPr="00E63FDF">
        <w:rPr>
          <w:lang w:val="es-EC"/>
        </w:rPr>
        <w:instrText xml:space="preserve"> SEQ MTEqn \c \* Arabic \* MERGEFORMAT </w:instrText>
      </w:r>
      <w:r w:rsidRPr="004123DA">
        <w:rPr>
          <w:lang w:val="es-EC"/>
        </w:rPr>
        <w:fldChar w:fldCharType="separate"/>
      </w:r>
      <w:r w:rsidR="00807771">
        <w:rPr>
          <w:noProof/>
          <w:lang w:val="es-EC"/>
        </w:rPr>
        <w:instrText>5</w:instrText>
      </w:r>
      <w:r w:rsidRPr="004123DA">
        <w:rPr>
          <w:noProof/>
          <w:lang w:val="es-EC"/>
        </w:rPr>
        <w:fldChar w:fldCharType="end"/>
      </w:r>
      <w:r w:rsidRPr="00E63FDF">
        <w:rPr>
          <w:lang w:val="es-EC"/>
        </w:rPr>
        <w:instrText>)</w:instrText>
      </w:r>
      <w:r w:rsidRPr="004123DA">
        <w:rPr>
          <w:lang w:val="es-EC"/>
        </w:rPr>
        <w:fldChar w:fldCharType="end"/>
      </w:r>
    </w:p>
    <w:p w14:paraId="6894D67F" w14:textId="3E194D43" w:rsidR="00E63FDF" w:rsidRPr="00E63FDF" w:rsidRDefault="00E63FDF" w:rsidP="00E63FDF">
      <w:pPr>
        <w:pStyle w:val="Text"/>
        <w:rPr>
          <w:lang w:val="es-EC"/>
        </w:rPr>
      </w:pPr>
      <w:r>
        <w:rPr>
          <w:lang w:val="es-EC"/>
        </w:rPr>
        <w:t>S</w:t>
      </w:r>
      <w:r w:rsidRPr="00E63FDF">
        <w:rPr>
          <w:lang w:val="es-EC"/>
        </w:rPr>
        <w:t xml:space="preserve">e resalta que, el operador producto interno es representado por la notación </w:t>
      </w:r>
      <w:r>
        <w:rPr>
          <w:lang w:val="es-EC"/>
        </w:rPr>
        <w:t>&lt;</w:t>
      </w:r>
      <w:r w:rsidRPr="00E63FDF">
        <w:rPr>
          <w:lang w:val="es-EC"/>
        </w:rPr>
        <w:t xml:space="preserve">, &gt;. El parámetro </w:t>
      </w:r>
      <w:proofErr w:type="spellStart"/>
      <w:r w:rsidRPr="00E63FDF">
        <w:rPr>
          <w:i/>
          <w:lang w:val="es-EC"/>
        </w:rPr>
        <w:t>a</w:t>
      </w:r>
      <w:r w:rsidRPr="00E63FDF">
        <w:rPr>
          <w:i/>
          <w:vertAlign w:val="subscript"/>
          <w:lang w:val="es-EC"/>
        </w:rPr>
        <w:t>eff</w:t>
      </w:r>
      <w:proofErr w:type="spellEnd"/>
      <w:r w:rsidRPr="00E63FDF">
        <w:rPr>
          <w:lang w:val="es-EC"/>
        </w:rPr>
        <w:t xml:space="preserve">  es igual a </w:t>
      </w:r>
      <w:proofErr w:type="spellStart"/>
      <w:r w:rsidRPr="00E63FDF">
        <w:rPr>
          <w:i/>
          <w:lang w:val="es-EC"/>
        </w:rPr>
        <w:t>a</w:t>
      </w:r>
      <w:proofErr w:type="spellEnd"/>
      <w:r w:rsidRPr="00E63FDF">
        <w:rPr>
          <w:lang w:val="es-EC"/>
        </w:rPr>
        <w:t xml:space="preserve"> +</w:t>
      </w:r>
      <w:r w:rsidRPr="00E63FDF">
        <w:rPr>
          <w:rFonts w:ascii="Symbol" w:hAnsi="Symbol"/>
          <w:lang w:val="es-EC"/>
        </w:rPr>
        <w:t></w:t>
      </w:r>
      <w:r w:rsidRPr="00E63FDF">
        <w:rPr>
          <w:i/>
          <w:lang w:val="es-EC"/>
        </w:rPr>
        <w:t>a</w:t>
      </w:r>
      <w:r w:rsidRPr="00E63FDF">
        <w:rPr>
          <w:lang w:val="es-EC"/>
        </w:rPr>
        <w:t xml:space="preserve">, </w:t>
      </w:r>
      <w:proofErr w:type="spellStart"/>
      <w:r w:rsidRPr="00E63FDF">
        <w:rPr>
          <w:i/>
          <w:lang w:val="es-EC"/>
        </w:rPr>
        <w:t>b</w:t>
      </w:r>
      <w:r w:rsidRPr="00E63FDF">
        <w:rPr>
          <w:i/>
          <w:vertAlign w:val="subscript"/>
          <w:lang w:val="es-EC"/>
        </w:rPr>
        <w:t>eff</w:t>
      </w:r>
      <w:proofErr w:type="spellEnd"/>
      <w:r w:rsidRPr="00E63FDF">
        <w:rPr>
          <w:lang w:val="es-EC"/>
        </w:rPr>
        <w:t xml:space="preserve"> es igual a </w:t>
      </w:r>
      <w:r w:rsidRPr="00E63FDF">
        <w:rPr>
          <w:i/>
          <w:lang w:val="es-EC"/>
        </w:rPr>
        <w:t>b</w:t>
      </w:r>
      <w:r w:rsidRPr="00E63FDF">
        <w:rPr>
          <w:lang w:val="es-EC"/>
        </w:rPr>
        <w:t xml:space="preserve"> +</w:t>
      </w:r>
      <w:r w:rsidRPr="00E63FDF">
        <w:rPr>
          <w:rFonts w:ascii="Symbol" w:hAnsi="Symbol"/>
          <w:lang w:val="es-EC"/>
        </w:rPr>
        <w:t></w:t>
      </w:r>
      <w:r w:rsidRPr="00E63FDF">
        <w:rPr>
          <w:i/>
          <w:lang w:val="es-EC"/>
        </w:rPr>
        <w:t>b</w:t>
      </w:r>
      <w:r w:rsidRPr="00E63FDF">
        <w:rPr>
          <w:lang w:val="es-EC"/>
        </w:rPr>
        <w:t xml:space="preserve">, </w:t>
      </w:r>
      <w:r w:rsidRPr="00E63FDF">
        <w:rPr>
          <w:rFonts w:ascii="Symbol" w:hAnsi="Symbol"/>
          <w:lang w:val="es-EC"/>
        </w:rPr>
        <w:t></w:t>
      </w:r>
      <w:r w:rsidRPr="00E63FDF">
        <w:rPr>
          <w:i/>
          <w:lang w:val="es-EC"/>
        </w:rPr>
        <w:t>a</w:t>
      </w:r>
      <w:r w:rsidRPr="00E63FDF">
        <w:rPr>
          <w:lang w:val="es-EC"/>
        </w:rPr>
        <w:t xml:space="preserve"> y </w:t>
      </w:r>
      <w:r w:rsidRPr="00E63FDF">
        <w:rPr>
          <w:rFonts w:ascii="Symbol" w:hAnsi="Symbol"/>
          <w:lang w:val="es-EC"/>
        </w:rPr>
        <w:t></w:t>
      </w:r>
      <w:r w:rsidRPr="00E63FDF">
        <w:rPr>
          <w:i/>
          <w:lang w:val="es-EC"/>
        </w:rPr>
        <w:t>b</w:t>
      </w:r>
      <w:r w:rsidRPr="00E63FDF">
        <w:rPr>
          <w:lang w:val="es-EC"/>
        </w:rPr>
        <w:t xml:space="preserve"> son pequeños incrementos en las dimensiones físicas del </w:t>
      </w:r>
      <w:proofErr w:type="spellStart"/>
      <w:r w:rsidRPr="00E63FDF">
        <w:rPr>
          <w:lang w:val="es-EC"/>
        </w:rPr>
        <w:t>patch</w:t>
      </w:r>
      <w:proofErr w:type="spellEnd"/>
      <w:r w:rsidRPr="00E63FDF">
        <w:rPr>
          <w:lang w:val="es-EC"/>
        </w:rPr>
        <w:t xml:space="preserve"> para compensar los efectos de borde, </w:t>
      </w:r>
      <w:r w:rsidRPr="00E63FDF">
        <w:rPr>
          <w:i/>
          <w:lang w:val="es-EC"/>
        </w:rPr>
        <w:t>k</w:t>
      </w:r>
      <w:r w:rsidRPr="00E63FDF">
        <w:rPr>
          <w:vertAlign w:val="subscript"/>
          <w:lang w:val="es-EC"/>
        </w:rPr>
        <w:t>0</w:t>
      </w:r>
      <w:r w:rsidRPr="00E63FDF">
        <w:rPr>
          <w:lang w:val="es-EC"/>
        </w:rPr>
        <w:t xml:space="preserve"> es el número de onda en el espacio libre (</w:t>
      </w:r>
      <w:r w:rsidRPr="00E63FDF">
        <w:rPr>
          <w:i/>
          <w:lang w:val="es-EC"/>
        </w:rPr>
        <w:t>k</w:t>
      </w:r>
      <w:r w:rsidRPr="00E63FDF">
        <w:rPr>
          <w:vertAlign w:val="subscript"/>
          <w:lang w:val="es-EC"/>
        </w:rPr>
        <w:t>0</w:t>
      </w:r>
      <w:r>
        <w:rPr>
          <w:lang w:val="es-EC"/>
        </w:rPr>
        <w:t> </w:t>
      </w:r>
      <w:r w:rsidRPr="00E63FDF">
        <w:rPr>
          <w:lang w:val="es-EC"/>
        </w:rPr>
        <w:t>=</w:t>
      </w:r>
      <w:r>
        <w:rPr>
          <w:lang w:val="es-EC"/>
        </w:rPr>
        <w:t> </w:t>
      </w:r>
      <w:r w:rsidRPr="00E63FDF">
        <w:rPr>
          <w:i/>
          <w:lang w:val="es-EC"/>
        </w:rPr>
        <w:t>c</w:t>
      </w:r>
      <w:r w:rsidRPr="00E63FDF">
        <w:rPr>
          <w:vertAlign w:val="subscript"/>
          <w:lang w:val="es-EC"/>
        </w:rPr>
        <w:t>0</w:t>
      </w:r>
      <w:r>
        <w:rPr>
          <w:lang w:val="es-EC"/>
        </w:rPr>
        <w:t>/</w:t>
      </w:r>
      <w:r w:rsidRPr="00E63FDF">
        <w:rPr>
          <w:lang w:val="es-EC"/>
        </w:rPr>
        <w:t xml:space="preserve"> </w:t>
      </w:r>
      <w:proofErr w:type="spellStart"/>
      <w:r w:rsidRPr="00E63FDF">
        <w:rPr>
          <w:i/>
          <w:lang w:val="es-EC"/>
        </w:rPr>
        <w:t>f</w:t>
      </w:r>
      <w:r w:rsidRPr="00E63FDF">
        <w:rPr>
          <w:i/>
          <w:vertAlign w:val="subscript"/>
          <w:lang w:val="es-EC"/>
        </w:rPr>
        <w:t>op</w:t>
      </w:r>
      <w:proofErr w:type="spellEnd"/>
      <w:r w:rsidRPr="00E63FDF">
        <w:rPr>
          <w:lang w:val="es-EC"/>
        </w:rPr>
        <w:t xml:space="preserve">), </w:t>
      </w:r>
      <w:proofErr w:type="spellStart"/>
      <w:r w:rsidRPr="00E63FDF">
        <w:rPr>
          <w:i/>
          <w:lang w:val="es-EC"/>
        </w:rPr>
        <w:t>f</w:t>
      </w:r>
      <w:r w:rsidRPr="00E63FDF">
        <w:rPr>
          <w:i/>
          <w:vertAlign w:val="subscript"/>
          <w:lang w:val="es-EC"/>
        </w:rPr>
        <w:t>op</w:t>
      </w:r>
      <w:proofErr w:type="spellEnd"/>
      <w:r w:rsidRPr="00E63FDF">
        <w:rPr>
          <w:lang w:val="es-EC"/>
        </w:rPr>
        <w:t xml:space="preserve"> es igual a la frecuencia de operación de 1</w:t>
      </w:r>
      <w:r w:rsidR="00973CC4">
        <w:rPr>
          <w:lang w:val="es-EC"/>
        </w:rPr>
        <w:t>.</w:t>
      </w:r>
      <w:r w:rsidRPr="00E63FDF">
        <w:rPr>
          <w:lang w:val="es-EC"/>
        </w:rPr>
        <w:t xml:space="preserve">575 GHz y </w:t>
      </w:r>
      <w:r w:rsidRPr="00E63FDF">
        <w:rPr>
          <w:i/>
          <w:lang w:val="es-EC"/>
        </w:rPr>
        <w:t>c</w:t>
      </w:r>
      <w:r w:rsidRPr="00E63FDF">
        <w:rPr>
          <w:vertAlign w:val="subscript"/>
          <w:lang w:val="es-EC"/>
        </w:rPr>
        <w:t>0</w:t>
      </w:r>
      <w:r w:rsidRPr="00E63FDF">
        <w:rPr>
          <w:lang w:val="es-EC"/>
        </w:rPr>
        <w:t xml:space="preserve"> es la velocidad de la luz en el vacío; i.e.</w:t>
      </w:r>
      <w:r>
        <w:rPr>
          <w:lang w:val="es-EC"/>
        </w:rPr>
        <w:t>,</w:t>
      </w:r>
      <w:r w:rsidRPr="00E63FDF">
        <w:rPr>
          <w:lang w:val="es-EC"/>
        </w:rPr>
        <w:t xml:space="preserve"> ≈ 3x108 m/s.   </w:t>
      </w:r>
    </w:p>
    <w:p w14:paraId="625B8F77" w14:textId="30F5A4EC" w:rsidR="00D010B7" w:rsidRPr="00D010B7" w:rsidRDefault="00E63FDF" w:rsidP="00E63FDF">
      <w:pPr>
        <w:pStyle w:val="Text"/>
        <w:rPr>
          <w:lang w:val="es-EC"/>
        </w:rPr>
      </w:pPr>
      <w:r w:rsidRPr="00E63FDF">
        <w:rPr>
          <w:lang w:val="es-EC"/>
        </w:rPr>
        <w:t>Para el cálculo de la impedancia de entrada, en el punto de coordenadas (</w:t>
      </w:r>
      <w:r w:rsidRPr="00E63FDF">
        <w:rPr>
          <w:i/>
          <w:lang w:val="es-EC"/>
        </w:rPr>
        <w:t>x</w:t>
      </w:r>
      <w:r w:rsidRPr="00E63FDF">
        <w:rPr>
          <w:lang w:val="es-EC"/>
        </w:rPr>
        <w:t xml:space="preserve">’, </w:t>
      </w:r>
      <w:r w:rsidRPr="00E63FDF">
        <w:rPr>
          <w:i/>
          <w:lang w:val="es-EC"/>
        </w:rPr>
        <w:t>y</w:t>
      </w:r>
      <w:r w:rsidRPr="00E63FDF">
        <w:rPr>
          <w:lang w:val="es-EC"/>
        </w:rPr>
        <w:t>’), se tiene la expresión:</w:t>
      </w:r>
    </w:p>
    <w:p w14:paraId="5885C16C" w14:textId="77777777" w:rsidR="00E63FDF" w:rsidRPr="00E63FDF" w:rsidRDefault="00E63FDF" w:rsidP="00E63FDF">
      <w:pPr>
        <w:pStyle w:val="MTDisplayEquation"/>
        <w:spacing w:before="120"/>
        <w:rPr>
          <w:lang w:val="es-EC"/>
        </w:rPr>
      </w:pPr>
      <w:r w:rsidRPr="00E63FDF">
        <w:rPr>
          <w:lang w:val="es-EC"/>
        </w:rPr>
        <w:tab/>
      </w:r>
      <w:r w:rsidR="00933E4D" w:rsidRPr="00E63FDF">
        <w:rPr>
          <w:position w:val="-30"/>
          <w:lang w:val="es-EC"/>
        </w:rPr>
        <w:object w:dxaOrig="2960" w:dyaOrig="700" w14:anchorId="72A5AA5E">
          <v:shape id="_x0000_i1031" type="#_x0000_t75" style="width:148.3pt;height:33.5pt" o:ole="">
            <v:imagedata r:id="rId21" o:title=""/>
          </v:shape>
          <o:OLEObject Type="Embed" ProgID="Equation.DSMT4" ShapeID="_x0000_i1031" DrawAspect="Content" ObjectID="_1817357233" r:id="rId22"/>
        </w:object>
      </w:r>
      <w:r w:rsidRPr="00E63FDF">
        <w:rPr>
          <w:lang w:val="es-EC"/>
        </w:rPr>
        <w:t xml:space="preserve"> </w:t>
      </w:r>
      <w:r w:rsidRPr="00E63FDF">
        <w:rPr>
          <w:lang w:val="es-EC"/>
        </w:rPr>
        <w:tab/>
      </w:r>
      <w:r w:rsidRPr="004123DA">
        <w:rPr>
          <w:lang w:val="es-EC"/>
        </w:rPr>
        <w:fldChar w:fldCharType="begin"/>
      </w:r>
      <w:r w:rsidRPr="00E63FDF">
        <w:rPr>
          <w:lang w:val="es-EC"/>
        </w:rPr>
        <w:instrText xml:space="preserve"> MACROBUTTON MTPlaceRef \* MERGEFORMAT </w:instrText>
      </w:r>
      <w:r w:rsidRPr="004123DA">
        <w:rPr>
          <w:lang w:val="es-EC"/>
        </w:rPr>
        <w:fldChar w:fldCharType="begin"/>
      </w:r>
      <w:r w:rsidRPr="00E63FDF">
        <w:rPr>
          <w:lang w:val="es-EC"/>
        </w:rPr>
        <w:instrText xml:space="preserve"> SEQ MTEqn \h \* MERGEFORMAT </w:instrText>
      </w:r>
      <w:r w:rsidRPr="004123DA">
        <w:rPr>
          <w:lang w:val="es-EC"/>
        </w:rPr>
        <w:fldChar w:fldCharType="end"/>
      </w:r>
      <w:r w:rsidRPr="00E63FDF">
        <w:rPr>
          <w:lang w:val="es-EC"/>
        </w:rPr>
        <w:instrText>(</w:instrText>
      </w:r>
      <w:r w:rsidRPr="004123DA">
        <w:rPr>
          <w:lang w:val="es-EC"/>
        </w:rPr>
        <w:fldChar w:fldCharType="begin"/>
      </w:r>
      <w:r w:rsidRPr="00E63FDF">
        <w:rPr>
          <w:lang w:val="es-EC"/>
        </w:rPr>
        <w:instrText xml:space="preserve"> SEQ MTEqn \c \* Arabic \* MERGEFORMAT </w:instrText>
      </w:r>
      <w:r w:rsidRPr="004123DA">
        <w:rPr>
          <w:lang w:val="es-EC"/>
        </w:rPr>
        <w:fldChar w:fldCharType="separate"/>
      </w:r>
      <w:r w:rsidR="00807771">
        <w:rPr>
          <w:noProof/>
          <w:lang w:val="es-EC"/>
        </w:rPr>
        <w:instrText>6</w:instrText>
      </w:r>
      <w:r w:rsidRPr="004123DA">
        <w:rPr>
          <w:noProof/>
          <w:lang w:val="es-EC"/>
        </w:rPr>
        <w:fldChar w:fldCharType="end"/>
      </w:r>
      <w:r w:rsidRPr="00E63FDF">
        <w:rPr>
          <w:lang w:val="es-EC"/>
        </w:rPr>
        <w:instrText>)</w:instrText>
      </w:r>
      <w:r w:rsidRPr="004123DA">
        <w:rPr>
          <w:lang w:val="es-EC"/>
        </w:rPr>
        <w:fldChar w:fldCharType="end"/>
      </w:r>
    </w:p>
    <w:p w14:paraId="6D9BB58C" w14:textId="3878887A" w:rsidR="00D010B7" w:rsidRPr="00D010B7" w:rsidRDefault="00E63FDF" w:rsidP="00E63FDF">
      <w:pPr>
        <w:pStyle w:val="Text"/>
        <w:ind w:firstLine="0"/>
        <w:rPr>
          <w:lang w:val="es-EC"/>
        </w:rPr>
      </w:pPr>
      <w:r>
        <w:rPr>
          <w:lang w:val="es-EC"/>
        </w:rPr>
        <w:t>donde:</w:t>
      </w:r>
    </w:p>
    <w:p w14:paraId="730D9657" w14:textId="18FB1AF7" w:rsidR="00E63FDF" w:rsidRPr="00E63FDF" w:rsidRDefault="00933E4D" w:rsidP="00E63FDF">
      <w:pPr>
        <w:pStyle w:val="MTDisplayEquation"/>
        <w:spacing w:before="120"/>
        <w:rPr>
          <w:lang w:val="es-EC"/>
        </w:rPr>
      </w:pPr>
      <w:r w:rsidRPr="00E63FDF">
        <w:rPr>
          <w:position w:val="-30"/>
          <w:lang w:val="es-EC"/>
        </w:rPr>
        <w:object w:dxaOrig="4620" w:dyaOrig="700" w14:anchorId="3F852C9F">
          <v:shape id="_x0000_i1032" type="#_x0000_t75" style="width:232.05pt;height:33.5pt" o:ole="">
            <v:imagedata r:id="rId23" o:title=""/>
          </v:shape>
          <o:OLEObject Type="Embed" ProgID="Equation.DSMT4" ShapeID="_x0000_i1032" DrawAspect="Content" ObjectID="_1817357234" r:id="rId24"/>
        </w:object>
      </w:r>
      <w:r w:rsidR="00E63FDF" w:rsidRPr="00E63FDF">
        <w:rPr>
          <w:lang w:val="es-EC"/>
        </w:rPr>
        <w:t xml:space="preserve"> </w:t>
      </w:r>
      <w:r w:rsidR="00E63FDF" w:rsidRPr="00E63FDF">
        <w:rPr>
          <w:lang w:val="es-EC"/>
        </w:rPr>
        <w:tab/>
      </w:r>
      <w:r w:rsidR="00E63FDF" w:rsidRPr="004123DA">
        <w:rPr>
          <w:lang w:val="es-EC"/>
        </w:rPr>
        <w:fldChar w:fldCharType="begin"/>
      </w:r>
      <w:r w:rsidR="00E63FDF" w:rsidRPr="00E63FDF">
        <w:rPr>
          <w:lang w:val="es-EC"/>
        </w:rPr>
        <w:instrText xml:space="preserve"> MACROBUTTON MTPlaceRef \* MERGEFORMAT </w:instrText>
      </w:r>
      <w:r w:rsidR="00E63FDF" w:rsidRPr="004123DA">
        <w:rPr>
          <w:lang w:val="es-EC"/>
        </w:rPr>
        <w:fldChar w:fldCharType="begin"/>
      </w:r>
      <w:r w:rsidR="00E63FDF" w:rsidRPr="00E63FDF">
        <w:rPr>
          <w:lang w:val="es-EC"/>
        </w:rPr>
        <w:instrText xml:space="preserve"> SEQ MTEqn \h \* MERGEFORMAT </w:instrText>
      </w:r>
      <w:r w:rsidR="00E63FDF" w:rsidRPr="004123DA">
        <w:rPr>
          <w:lang w:val="es-EC"/>
        </w:rPr>
        <w:fldChar w:fldCharType="end"/>
      </w:r>
      <w:r w:rsidR="00E63FDF" w:rsidRPr="00E63FDF">
        <w:rPr>
          <w:lang w:val="es-EC"/>
        </w:rPr>
        <w:instrText>(</w:instrText>
      </w:r>
      <w:r w:rsidR="00E63FDF" w:rsidRPr="004123DA">
        <w:rPr>
          <w:lang w:val="es-EC"/>
        </w:rPr>
        <w:fldChar w:fldCharType="begin"/>
      </w:r>
      <w:r w:rsidR="00E63FDF" w:rsidRPr="00E63FDF">
        <w:rPr>
          <w:lang w:val="es-EC"/>
        </w:rPr>
        <w:instrText xml:space="preserve"> SEQ MTEqn \c \* Arabic \* MERGEFORMAT </w:instrText>
      </w:r>
      <w:r w:rsidR="00E63FDF" w:rsidRPr="004123DA">
        <w:rPr>
          <w:lang w:val="es-EC"/>
        </w:rPr>
        <w:fldChar w:fldCharType="separate"/>
      </w:r>
      <w:r w:rsidR="00807771">
        <w:rPr>
          <w:noProof/>
          <w:lang w:val="es-EC"/>
        </w:rPr>
        <w:instrText>7</w:instrText>
      </w:r>
      <w:r w:rsidR="00E63FDF" w:rsidRPr="004123DA">
        <w:rPr>
          <w:noProof/>
          <w:lang w:val="es-EC"/>
        </w:rPr>
        <w:fldChar w:fldCharType="end"/>
      </w:r>
      <w:r w:rsidR="00E63FDF" w:rsidRPr="00E63FDF">
        <w:rPr>
          <w:lang w:val="es-EC"/>
        </w:rPr>
        <w:instrText>)</w:instrText>
      </w:r>
      <w:r w:rsidR="00E63FDF" w:rsidRPr="004123DA">
        <w:rPr>
          <w:lang w:val="es-EC"/>
        </w:rPr>
        <w:fldChar w:fldCharType="end"/>
      </w:r>
    </w:p>
    <w:p w14:paraId="7BB9248B" w14:textId="688B0196" w:rsidR="00E63FDF" w:rsidRPr="00E63FDF" w:rsidRDefault="00E63FDF" w:rsidP="00E63FDF">
      <w:pPr>
        <w:pStyle w:val="Text"/>
        <w:ind w:firstLine="0"/>
        <w:rPr>
          <w:lang w:val="es-EC"/>
        </w:rPr>
      </w:pPr>
      <w:r w:rsidRPr="00E63FDF">
        <w:rPr>
          <w:rFonts w:ascii="Symbol" w:hAnsi="Symbol"/>
          <w:lang w:val="es-EC"/>
        </w:rPr>
        <w:t></w:t>
      </w:r>
      <w:r w:rsidRPr="00E63FDF">
        <w:rPr>
          <w:i/>
          <w:vertAlign w:val="subscript"/>
          <w:lang w:val="es-EC"/>
        </w:rPr>
        <w:t>m</w:t>
      </w:r>
      <w:r w:rsidRPr="00E63FDF">
        <w:rPr>
          <w:lang w:val="es-EC"/>
        </w:rPr>
        <w:t xml:space="preserve"> y </w:t>
      </w:r>
      <w:r w:rsidRPr="00E63FDF">
        <w:rPr>
          <w:rFonts w:ascii="Symbol" w:hAnsi="Symbol"/>
          <w:lang w:val="es-EC"/>
        </w:rPr>
        <w:t></w:t>
      </w:r>
      <w:r w:rsidRPr="00E63FDF">
        <w:rPr>
          <w:i/>
          <w:vertAlign w:val="subscript"/>
          <w:lang w:val="es-EC"/>
        </w:rPr>
        <w:t>n</w:t>
      </w:r>
      <w:r w:rsidRPr="00E63FDF">
        <w:rPr>
          <w:lang w:val="es-EC"/>
        </w:rPr>
        <w:t xml:space="preserve"> son coeficientes que deben cumplir con la condición de que </w:t>
      </w:r>
      <w:r w:rsidRPr="00E63FDF">
        <w:rPr>
          <w:rFonts w:ascii="Symbol" w:hAnsi="Symbol"/>
          <w:lang w:val="es-EC"/>
        </w:rPr>
        <w:t></w:t>
      </w:r>
      <w:r w:rsidRPr="00E63FDF">
        <w:rPr>
          <w:i/>
          <w:vertAlign w:val="subscript"/>
          <w:lang w:val="es-EC"/>
        </w:rPr>
        <w:t>i</w:t>
      </w:r>
      <w:r w:rsidRPr="00E63FDF">
        <w:rPr>
          <w:lang w:val="es-EC"/>
        </w:rPr>
        <w:t xml:space="preserve"> = 1 si </w:t>
      </w:r>
      <w:r w:rsidRPr="00E63FDF">
        <w:rPr>
          <w:i/>
          <w:lang w:val="es-EC"/>
        </w:rPr>
        <w:t>i</w:t>
      </w:r>
      <w:r w:rsidRPr="00E63FDF">
        <w:rPr>
          <w:lang w:val="es-EC"/>
        </w:rPr>
        <w:t xml:space="preserve"> = 0 y </w:t>
      </w:r>
      <w:r w:rsidRPr="00E63FDF">
        <w:rPr>
          <w:rFonts w:ascii="Symbol" w:hAnsi="Symbol"/>
          <w:lang w:val="es-EC"/>
        </w:rPr>
        <w:t></w:t>
      </w:r>
      <w:r w:rsidRPr="00E63FDF">
        <w:rPr>
          <w:i/>
          <w:vertAlign w:val="subscript"/>
          <w:lang w:val="es-EC"/>
        </w:rPr>
        <w:t>i</w:t>
      </w:r>
      <w:r w:rsidRPr="00E63FDF">
        <w:rPr>
          <w:lang w:val="es-EC"/>
        </w:rPr>
        <w:t xml:space="preserve"> = 2 si </w:t>
      </w:r>
      <w:r w:rsidRPr="00E63FDF">
        <w:rPr>
          <w:i/>
          <w:lang w:val="es-EC"/>
        </w:rPr>
        <w:t>i</w:t>
      </w:r>
      <w:r w:rsidRPr="00E63FDF">
        <w:rPr>
          <w:lang w:val="es-EC"/>
        </w:rPr>
        <w:t xml:space="preserve"> ≠ 0. Además, </w:t>
      </w:r>
      <w:r w:rsidRPr="00E63FDF">
        <w:rPr>
          <w:rFonts w:ascii="Symbol" w:hAnsi="Symbol"/>
          <w:lang w:val="es-EC"/>
        </w:rPr>
        <w:t></w:t>
      </w:r>
      <w:r w:rsidRPr="00E63FDF">
        <w:rPr>
          <w:i/>
          <w:vertAlign w:val="subscript"/>
          <w:lang w:val="es-EC"/>
        </w:rPr>
        <w:t>p</w:t>
      </w:r>
      <w:r w:rsidRPr="00E63FDF">
        <w:rPr>
          <w:lang w:val="es-EC"/>
        </w:rPr>
        <w:t xml:space="preserve"> es el ancho de la punta de prueba coaxial. </w:t>
      </w:r>
    </w:p>
    <w:p w14:paraId="0990BC97" w14:textId="04CD5766" w:rsidR="00D010B7" w:rsidRPr="00D010B7" w:rsidRDefault="00E63FDF" w:rsidP="00E63FDF">
      <w:pPr>
        <w:pStyle w:val="Text"/>
        <w:rPr>
          <w:lang w:val="es-EC"/>
        </w:rPr>
      </w:pPr>
      <w:r w:rsidRPr="00E63FDF">
        <w:rPr>
          <w:lang w:val="es-EC"/>
        </w:rPr>
        <w:t xml:space="preserve">Las componentes de campo eléctrico distante </w:t>
      </w:r>
      <w:r w:rsidRPr="00E63FDF">
        <w:rPr>
          <w:i/>
          <w:lang w:val="es-EC"/>
        </w:rPr>
        <w:t>E</w:t>
      </w:r>
      <w:r w:rsidRPr="00E63FDF">
        <w:rPr>
          <w:rFonts w:ascii="Symbol" w:hAnsi="Symbol"/>
          <w:vertAlign w:val="subscript"/>
          <w:lang w:val="es-EC"/>
        </w:rPr>
        <w:t></w:t>
      </w:r>
      <w:r>
        <w:rPr>
          <w:lang w:val="es-EC"/>
        </w:rPr>
        <w:t xml:space="preserve"> </w:t>
      </w:r>
      <w:r w:rsidRPr="00E63FDF">
        <w:rPr>
          <w:lang w:val="es-EC"/>
        </w:rPr>
        <w:t>(</w:t>
      </w:r>
      <w:r w:rsidRPr="00E63FDF">
        <w:rPr>
          <w:rFonts w:ascii="Symbol" w:hAnsi="Symbol"/>
          <w:lang w:val="es-EC"/>
        </w:rPr>
        <w:t></w:t>
      </w:r>
      <w:r w:rsidRPr="00E63FDF">
        <w:rPr>
          <w:lang w:val="es-EC"/>
        </w:rPr>
        <w:t>,</w:t>
      </w:r>
      <w:r>
        <w:rPr>
          <w:lang w:val="es-EC"/>
        </w:rPr>
        <w:t xml:space="preserve"> </w:t>
      </w:r>
      <w:r w:rsidRPr="00E63FDF">
        <w:rPr>
          <w:rFonts w:ascii="Symbol" w:hAnsi="Symbol"/>
          <w:lang w:val="es-EC"/>
        </w:rPr>
        <w:t></w:t>
      </w:r>
      <w:r w:rsidRPr="00E63FDF">
        <w:rPr>
          <w:lang w:val="es-EC"/>
        </w:rPr>
        <w:t xml:space="preserve">) y </w:t>
      </w:r>
      <w:r w:rsidRPr="00E63FDF">
        <w:rPr>
          <w:i/>
          <w:lang w:val="es-EC"/>
        </w:rPr>
        <w:t>E</w:t>
      </w:r>
      <w:r w:rsidRPr="00E63FDF">
        <w:rPr>
          <w:rFonts w:ascii="Symbol" w:hAnsi="Symbol"/>
          <w:lang w:val="es-EC"/>
        </w:rPr>
        <w:t></w:t>
      </w:r>
      <w:r>
        <w:rPr>
          <w:lang w:val="es-EC"/>
        </w:rPr>
        <w:t> </w:t>
      </w:r>
      <w:r w:rsidRPr="00E63FDF">
        <w:rPr>
          <w:lang w:val="es-EC"/>
        </w:rPr>
        <w:t>(</w:t>
      </w:r>
      <w:r w:rsidRPr="00E63FDF">
        <w:rPr>
          <w:rFonts w:ascii="Symbol" w:hAnsi="Symbol"/>
          <w:lang w:val="es-EC"/>
        </w:rPr>
        <w:t></w:t>
      </w:r>
      <w:r w:rsidRPr="00E63FDF">
        <w:rPr>
          <w:lang w:val="es-EC"/>
        </w:rPr>
        <w:t>,</w:t>
      </w:r>
      <w:r w:rsidRPr="00E63FDF">
        <w:rPr>
          <w:rFonts w:ascii="Symbol" w:hAnsi="Symbol"/>
          <w:lang w:val="es-EC"/>
        </w:rPr>
        <w:t></w:t>
      </w:r>
      <w:r w:rsidRPr="00E63FDF">
        <w:rPr>
          <w:lang w:val="es-EC"/>
        </w:rPr>
        <w:t>), en coordenadas esféricas y generadas por el modo TM</w:t>
      </w:r>
      <w:r w:rsidRPr="00E63FDF">
        <w:rPr>
          <w:i/>
          <w:lang w:val="es-EC"/>
        </w:rPr>
        <w:t>01</w:t>
      </w:r>
      <w:r w:rsidRPr="00E63FDF">
        <w:rPr>
          <w:lang w:val="es-EC"/>
        </w:rPr>
        <w:t>, son:</w:t>
      </w:r>
    </w:p>
    <w:p w14:paraId="72674393" w14:textId="77777777" w:rsidR="00E63FDF" w:rsidRPr="006C12B9" w:rsidRDefault="00E63FDF" w:rsidP="00E63FDF">
      <w:pPr>
        <w:pStyle w:val="MTDisplayEquation"/>
        <w:spacing w:before="120"/>
        <w:rPr>
          <w:lang w:val="es-EC"/>
        </w:rPr>
      </w:pPr>
      <w:r w:rsidRPr="00E63FDF">
        <w:rPr>
          <w:lang w:val="es-EC"/>
        </w:rPr>
        <w:tab/>
      </w:r>
      <w:r w:rsidR="00933E4D" w:rsidRPr="00E63FDF">
        <w:rPr>
          <w:position w:val="-22"/>
          <w:lang w:val="es-EC"/>
        </w:rPr>
        <w:object w:dxaOrig="2439" w:dyaOrig="600" w14:anchorId="21FC9831">
          <v:shape id="_x0000_i1033" type="#_x0000_t75" style="width:122.6pt;height:28.5pt" o:ole="">
            <v:imagedata r:id="rId25" o:title=""/>
          </v:shape>
          <o:OLEObject Type="Embed" ProgID="Equation.DSMT4" ShapeID="_x0000_i1033" DrawAspect="Content" ObjectID="_1817357235" r:id="rId26"/>
        </w:object>
      </w:r>
      <w:r w:rsidRPr="006C12B9">
        <w:rPr>
          <w:lang w:val="es-EC"/>
        </w:rPr>
        <w:t xml:space="preserve"> </w:t>
      </w:r>
      <w:r w:rsidRPr="006C12B9">
        <w:rPr>
          <w:lang w:val="es-EC"/>
        </w:rPr>
        <w:tab/>
      </w:r>
      <w:r w:rsidRPr="004123DA">
        <w:rPr>
          <w:lang w:val="es-EC"/>
        </w:rPr>
        <w:fldChar w:fldCharType="begin"/>
      </w:r>
      <w:r w:rsidRPr="006C12B9">
        <w:rPr>
          <w:lang w:val="es-EC"/>
        </w:rPr>
        <w:instrText xml:space="preserve"> MACROBUTTON MTPlaceRef \* MERGEFORMAT </w:instrText>
      </w:r>
      <w:r w:rsidRPr="004123DA">
        <w:rPr>
          <w:lang w:val="es-EC"/>
        </w:rPr>
        <w:fldChar w:fldCharType="begin"/>
      </w:r>
      <w:r w:rsidRPr="006C12B9">
        <w:rPr>
          <w:lang w:val="es-EC"/>
        </w:rPr>
        <w:instrText xml:space="preserve"> SEQ MTEqn \h \* MERGEFORMAT </w:instrText>
      </w:r>
      <w:r w:rsidRPr="004123DA">
        <w:rPr>
          <w:lang w:val="es-EC"/>
        </w:rPr>
        <w:fldChar w:fldCharType="end"/>
      </w:r>
      <w:r w:rsidRPr="006C12B9">
        <w:rPr>
          <w:lang w:val="es-EC"/>
        </w:rPr>
        <w:instrText>(</w:instrText>
      </w:r>
      <w:r w:rsidRPr="004123DA">
        <w:rPr>
          <w:lang w:val="es-EC"/>
        </w:rPr>
        <w:fldChar w:fldCharType="begin"/>
      </w:r>
      <w:r w:rsidRPr="006C12B9">
        <w:rPr>
          <w:lang w:val="es-EC"/>
        </w:rPr>
        <w:instrText xml:space="preserve"> SEQ MTEqn \c \* Arabic \* MERGEFORMAT </w:instrText>
      </w:r>
      <w:r w:rsidRPr="004123DA">
        <w:rPr>
          <w:lang w:val="es-EC"/>
        </w:rPr>
        <w:fldChar w:fldCharType="separate"/>
      </w:r>
      <w:r w:rsidR="00807771" w:rsidRPr="006C12B9">
        <w:rPr>
          <w:noProof/>
          <w:lang w:val="es-EC"/>
        </w:rPr>
        <w:instrText>8</w:instrText>
      </w:r>
      <w:r w:rsidRPr="004123DA">
        <w:rPr>
          <w:noProof/>
          <w:lang w:val="es-EC"/>
        </w:rPr>
        <w:fldChar w:fldCharType="end"/>
      </w:r>
      <w:r w:rsidRPr="006C12B9">
        <w:rPr>
          <w:lang w:val="es-EC"/>
        </w:rPr>
        <w:instrText>)</w:instrText>
      </w:r>
      <w:r w:rsidRPr="004123DA">
        <w:rPr>
          <w:lang w:val="es-EC"/>
        </w:rPr>
        <w:fldChar w:fldCharType="end"/>
      </w:r>
    </w:p>
    <w:p w14:paraId="6D7ED740" w14:textId="77777777" w:rsidR="00E63FDF" w:rsidRPr="006C12B9" w:rsidRDefault="00E63FDF" w:rsidP="00E63FDF">
      <w:pPr>
        <w:pStyle w:val="MTDisplayEquation"/>
        <w:spacing w:before="120"/>
        <w:rPr>
          <w:lang w:val="es-EC"/>
        </w:rPr>
      </w:pPr>
      <w:r w:rsidRPr="006C12B9">
        <w:rPr>
          <w:lang w:val="es-EC"/>
        </w:rPr>
        <w:tab/>
      </w:r>
      <w:r w:rsidR="00933E4D" w:rsidRPr="00E63FDF">
        <w:rPr>
          <w:position w:val="-10"/>
          <w:lang w:val="es-EC"/>
        </w:rPr>
        <w:object w:dxaOrig="600" w:dyaOrig="300" w14:anchorId="619A0A02">
          <v:shape id="_x0000_i1034" type="#_x0000_t75" style="width:29.95pt;height:14.6pt" o:ole="">
            <v:imagedata r:id="rId27" o:title=""/>
          </v:shape>
          <o:OLEObject Type="Embed" ProgID="Equation.DSMT4" ShapeID="_x0000_i1034" DrawAspect="Content" ObjectID="_1817357236" r:id="rId28"/>
        </w:object>
      </w:r>
      <w:r w:rsidRPr="006C12B9">
        <w:rPr>
          <w:lang w:val="es-EC"/>
        </w:rPr>
        <w:t xml:space="preserve"> </w:t>
      </w:r>
      <w:r w:rsidRPr="006C12B9">
        <w:rPr>
          <w:lang w:val="es-EC"/>
        </w:rPr>
        <w:tab/>
      </w:r>
      <w:r w:rsidRPr="004123DA">
        <w:rPr>
          <w:lang w:val="es-EC"/>
        </w:rPr>
        <w:fldChar w:fldCharType="begin"/>
      </w:r>
      <w:r w:rsidRPr="006C12B9">
        <w:rPr>
          <w:lang w:val="es-EC"/>
        </w:rPr>
        <w:instrText xml:space="preserve"> MACROBUTTON MTPlaceRef \* MERGEFORMAT </w:instrText>
      </w:r>
      <w:r w:rsidRPr="004123DA">
        <w:rPr>
          <w:lang w:val="es-EC"/>
        </w:rPr>
        <w:fldChar w:fldCharType="begin"/>
      </w:r>
      <w:r w:rsidRPr="006C12B9">
        <w:rPr>
          <w:lang w:val="es-EC"/>
        </w:rPr>
        <w:instrText xml:space="preserve"> SEQ MTEqn \h \* MERGEFORMAT </w:instrText>
      </w:r>
      <w:r w:rsidRPr="004123DA">
        <w:rPr>
          <w:lang w:val="es-EC"/>
        </w:rPr>
        <w:fldChar w:fldCharType="end"/>
      </w:r>
      <w:r w:rsidRPr="006C12B9">
        <w:rPr>
          <w:lang w:val="es-EC"/>
        </w:rPr>
        <w:instrText>(</w:instrText>
      </w:r>
      <w:r w:rsidRPr="004123DA">
        <w:rPr>
          <w:lang w:val="es-EC"/>
        </w:rPr>
        <w:fldChar w:fldCharType="begin"/>
      </w:r>
      <w:r w:rsidRPr="006C12B9">
        <w:rPr>
          <w:lang w:val="es-EC"/>
        </w:rPr>
        <w:instrText xml:space="preserve"> SEQ MTEqn \c \* Arabic \* MERGEFORMAT </w:instrText>
      </w:r>
      <w:r w:rsidRPr="004123DA">
        <w:rPr>
          <w:lang w:val="es-EC"/>
        </w:rPr>
        <w:fldChar w:fldCharType="separate"/>
      </w:r>
      <w:r w:rsidR="00807771" w:rsidRPr="006C12B9">
        <w:rPr>
          <w:noProof/>
          <w:lang w:val="es-EC"/>
        </w:rPr>
        <w:instrText>9</w:instrText>
      </w:r>
      <w:r w:rsidRPr="004123DA">
        <w:rPr>
          <w:noProof/>
          <w:lang w:val="es-EC"/>
        </w:rPr>
        <w:fldChar w:fldCharType="end"/>
      </w:r>
      <w:r w:rsidRPr="006C12B9">
        <w:rPr>
          <w:lang w:val="es-EC"/>
        </w:rPr>
        <w:instrText>)</w:instrText>
      </w:r>
      <w:r w:rsidRPr="004123DA">
        <w:rPr>
          <w:lang w:val="es-EC"/>
        </w:rPr>
        <w:fldChar w:fldCharType="end"/>
      </w:r>
    </w:p>
    <w:p w14:paraId="109FA295" w14:textId="08CD5C7A" w:rsidR="00D010B7" w:rsidRPr="00E63FDF" w:rsidRDefault="00E63FDF" w:rsidP="00E63FDF">
      <w:pPr>
        <w:pStyle w:val="Text"/>
        <w:ind w:firstLine="0"/>
        <w:rPr>
          <w:lang w:val="es-EC"/>
        </w:rPr>
      </w:pPr>
      <w:proofErr w:type="gramStart"/>
      <w:r w:rsidRPr="00E63FDF">
        <w:rPr>
          <w:lang w:val="es-EC"/>
        </w:rPr>
        <w:t>donde</w:t>
      </w:r>
      <w:proofErr w:type="gramEnd"/>
      <w:r w:rsidRPr="00E63FDF">
        <w:rPr>
          <w:lang w:val="es-EC"/>
        </w:rPr>
        <w:t xml:space="preserve"> </w:t>
      </w:r>
      <w:r w:rsidRPr="00E63FDF">
        <w:rPr>
          <w:i/>
          <w:lang w:val="es-EC"/>
        </w:rPr>
        <w:t>V</w:t>
      </w:r>
      <w:r w:rsidRPr="00E63FDF">
        <w:rPr>
          <w:vertAlign w:val="subscript"/>
          <w:lang w:val="es-EC"/>
        </w:rPr>
        <w:t>0</w:t>
      </w:r>
      <w:r w:rsidRPr="00E63FDF">
        <w:rPr>
          <w:lang w:val="es-EC"/>
        </w:rPr>
        <w:t xml:space="preserve"> es la tensión sobre la abertura equivalente que se establece alrededor de </w:t>
      </w:r>
      <w:r w:rsidR="006C12B9">
        <w:rPr>
          <w:lang w:val="es-EC"/>
        </w:rPr>
        <w:t xml:space="preserve">la </w:t>
      </w:r>
      <w:proofErr w:type="spellStart"/>
      <w:r w:rsidRPr="00E63FDF">
        <w:rPr>
          <w:lang w:val="es-EC"/>
        </w:rPr>
        <w:t>patch</w:t>
      </w:r>
      <w:proofErr w:type="spellEnd"/>
      <w:r w:rsidRPr="00E63FDF">
        <w:rPr>
          <w:lang w:val="es-EC"/>
        </w:rPr>
        <w:t xml:space="preserve"> rectangular, </w:t>
      </w:r>
      <w:r w:rsidRPr="00E63FDF">
        <w:rPr>
          <w:i/>
          <w:lang w:val="es-EC"/>
        </w:rPr>
        <w:t>F</w:t>
      </w:r>
      <w:r w:rsidRPr="00E63FDF">
        <w:rPr>
          <w:lang w:val="es-EC"/>
        </w:rPr>
        <w:t>(</w:t>
      </w:r>
      <w:r w:rsidRPr="00E63FDF">
        <w:rPr>
          <w:rFonts w:ascii="Symbol" w:hAnsi="Symbol"/>
        </w:rPr>
        <w:t></w:t>
      </w:r>
      <w:r w:rsidRPr="00E63FDF">
        <w:rPr>
          <w:lang w:val="es-EC"/>
        </w:rPr>
        <w:t>,</w:t>
      </w:r>
      <w:r w:rsidRPr="00E63FDF">
        <w:rPr>
          <w:rFonts w:ascii="Symbol" w:hAnsi="Symbol"/>
        </w:rPr>
        <w:t></w:t>
      </w:r>
      <w:r w:rsidRPr="00E63FDF">
        <w:rPr>
          <w:lang w:val="es-EC"/>
        </w:rPr>
        <w:t>) es una función angular que depende del modo de propagación y de los planos principales de irradiación considerados. Para el modo TM</w:t>
      </w:r>
      <w:r w:rsidRPr="00E63FDF">
        <w:rPr>
          <w:vertAlign w:val="subscript"/>
          <w:lang w:val="es-EC"/>
        </w:rPr>
        <w:t>01</w:t>
      </w:r>
      <w:r w:rsidRPr="00E63FDF">
        <w:rPr>
          <w:lang w:val="es-EC"/>
        </w:rPr>
        <w:t xml:space="preserve"> la función </w:t>
      </w:r>
      <w:proofErr w:type="gramStart"/>
      <w:r w:rsidRPr="00E63FDF">
        <w:rPr>
          <w:i/>
          <w:lang w:val="es-EC"/>
        </w:rPr>
        <w:t>F</w:t>
      </w:r>
      <w:r w:rsidRPr="00E63FDF">
        <w:rPr>
          <w:lang w:val="es-EC"/>
        </w:rPr>
        <w:t>(</w:t>
      </w:r>
      <w:proofErr w:type="gramEnd"/>
      <w:r w:rsidRPr="00E63FDF">
        <w:rPr>
          <w:rFonts w:ascii="Symbol" w:hAnsi="Symbol"/>
        </w:rPr>
        <w:t></w:t>
      </w:r>
      <w:r w:rsidRPr="00E63FDF">
        <w:rPr>
          <w:lang w:val="es-EC"/>
        </w:rPr>
        <w:t>,</w:t>
      </w:r>
      <w:r w:rsidRPr="00E63FDF">
        <w:rPr>
          <w:rFonts w:ascii="Symbol" w:hAnsi="Symbol"/>
        </w:rPr>
        <w:t></w:t>
      </w:r>
      <w:r w:rsidRPr="00E63FDF">
        <w:rPr>
          <w:lang w:val="es-EC"/>
        </w:rPr>
        <w:t xml:space="preserve">) es expresa a través de la relación </w:t>
      </w:r>
      <w:r w:rsidRPr="00E63FDF">
        <w:rPr>
          <w:i/>
          <w:lang w:val="es-EC"/>
        </w:rPr>
        <w:t>F</w:t>
      </w:r>
      <w:r w:rsidRPr="00E63FDF">
        <w:rPr>
          <w:lang w:val="es-EC"/>
        </w:rPr>
        <w:t>(</w:t>
      </w:r>
      <w:r w:rsidRPr="00E63FDF">
        <w:rPr>
          <w:rFonts w:ascii="Symbol" w:hAnsi="Symbol"/>
        </w:rPr>
        <w:t></w:t>
      </w:r>
      <w:r w:rsidRPr="00E63FDF">
        <w:rPr>
          <w:lang w:val="es-EC"/>
        </w:rPr>
        <w:t>,</w:t>
      </w:r>
      <w:r w:rsidRPr="00E63FDF">
        <w:rPr>
          <w:rFonts w:ascii="Symbol" w:hAnsi="Symbol"/>
        </w:rPr>
        <w:t></w:t>
      </w:r>
      <w:r w:rsidRPr="00E63FDF">
        <w:rPr>
          <w:lang w:val="es-EC"/>
        </w:rPr>
        <w:t>)</w:t>
      </w:r>
      <w:r>
        <w:rPr>
          <w:lang w:val="es-EC"/>
        </w:rPr>
        <w:t> </w:t>
      </w:r>
      <w:r w:rsidRPr="00E63FDF">
        <w:rPr>
          <w:lang w:val="es-EC"/>
        </w:rPr>
        <w:t>=</w:t>
      </w:r>
      <w:r>
        <w:rPr>
          <w:lang w:val="es-EC"/>
        </w:rPr>
        <w:t> </w:t>
      </w:r>
      <w:r w:rsidRPr="00E63FDF">
        <w:rPr>
          <w:i/>
          <w:lang w:val="es-EC"/>
        </w:rPr>
        <w:t>F</w:t>
      </w:r>
      <w:r w:rsidRPr="00E63FDF">
        <w:rPr>
          <w:i/>
          <w:vertAlign w:val="subscript"/>
          <w:lang w:val="es-EC"/>
        </w:rPr>
        <w:t>E</w:t>
      </w:r>
      <w:r w:rsidRPr="00E63FDF">
        <w:rPr>
          <w:lang w:val="es-EC"/>
        </w:rPr>
        <w:t>(</w:t>
      </w:r>
      <w:r w:rsidRPr="00E63FDF">
        <w:rPr>
          <w:rFonts w:ascii="Symbol" w:hAnsi="Symbol"/>
        </w:rPr>
        <w:t></w:t>
      </w:r>
      <w:r w:rsidRPr="00E63FDF">
        <w:rPr>
          <w:lang w:val="es-EC"/>
        </w:rPr>
        <w:t>)</w:t>
      </w:r>
      <w:r w:rsidRPr="00E63FDF">
        <w:rPr>
          <w:i/>
          <w:lang w:val="es-EC"/>
        </w:rPr>
        <w:t>F</w:t>
      </w:r>
      <w:r w:rsidRPr="00E63FDF">
        <w:rPr>
          <w:i/>
          <w:vertAlign w:val="subscript"/>
          <w:lang w:val="es-EC"/>
        </w:rPr>
        <w:t>H</w:t>
      </w:r>
      <w:r w:rsidRPr="00E63FDF">
        <w:rPr>
          <w:lang w:val="es-EC"/>
        </w:rPr>
        <w:t>(</w:t>
      </w:r>
      <w:r w:rsidRPr="00E63FDF">
        <w:rPr>
          <w:rFonts w:ascii="Symbol" w:hAnsi="Symbol"/>
        </w:rPr>
        <w:t></w:t>
      </w:r>
      <w:r w:rsidRPr="00E63FDF">
        <w:rPr>
          <w:lang w:val="es-EC"/>
        </w:rPr>
        <w:t xml:space="preserve">). Además, </w:t>
      </w:r>
      <w:proofErr w:type="gramStart"/>
      <w:r w:rsidRPr="00E63FDF">
        <w:rPr>
          <w:i/>
          <w:lang w:val="es-EC"/>
        </w:rPr>
        <w:t>F</w:t>
      </w:r>
      <w:r w:rsidRPr="00E63FDF">
        <w:rPr>
          <w:i/>
          <w:vertAlign w:val="subscript"/>
          <w:lang w:val="es-EC"/>
        </w:rPr>
        <w:t>E</w:t>
      </w:r>
      <w:r w:rsidRPr="00E63FDF">
        <w:rPr>
          <w:lang w:val="es-EC"/>
        </w:rPr>
        <w:t>(</w:t>
      </w:r>
      <w:proofErr w:type="gramEnd"/>
      <w:r w:rsidRPr="00E63FDF">
        <w:rPr>
          <w:rFonts w:ascii="Symbol" w:hAnsi="Symbol"/>
        </w:rPr>
        <w:t></w:t>
      </w:r>
      <w:r w:rsidRPr="00E63FDF">
        <w:rPr>
          <w:lang w:val="es-EC"/>
        </w:rPr>
        <w:t xml:space="preserve">) es el diagrama de irradiación en el plano-E y </w:t>
      </w:r>
      <w:r w:rsidRPr="00E63FDF">
        <w:rPr>
          <w:i/>
          <w:lang w:val="es-EC"/>
        </w:rPr>
        <w:t>F</w:t>
      </w:r>
      <w:r w:rsidRPr="00E63FDF">
        <w:rPr>
          <w:i/>
          <w:vertAlign w:val="subscript"/>
          <w:lang w:val="es-EC"/>
        </w:rPr>
        <w:t>H</w:t>
      </w:r>
      <w:r w:rsidRPr="00E63FDF">
        <w:rPr>
          <w:lang w:val="es-EC"/>
        </w:rPr>
        <w:t>(</w:t>
      </w:r>
      <w:r w:rsidRPr="00E63FDF">
        <w:rPr>
          <w:rFonts w:ascii="Symbol" w:hAnsi="Symbol"/>
        </w:rPr>
        <w:t></w:t>
      </w:r>
      <w:r w:rsidRPr="00E63FDF">
        <w:rPr>
          <w:lang w:val="es-EC"/>
        </w:rPr>
        <w:t>) es el diagrama de irradiación en el plano-H. Esto es:</w:t>
      </w:r>
    </w:p>
    <w:p w14:paraId="62F3EA58" w14:textId="77777777" w:rsidR="00E63FDF" w:rsidRPr="00933E4D" w:rsidRDefault="00E63FDF" w:rsidP="00E63FDF">
      <w:pPr>
        <w:pStyle w:val="MTDisplayEquation"/>
        <w:spacing w:before="120"/>
        <w:rPr>
          <w:lang w:val="es-EC"/>
        </w:rPr>
      </w:pPr>
      <w:r w:rsidRPr="00807771">
        <w:rPr>
          <w:lang w:val="es-EC"/>
        </w:rPr>
        <w:lastRenderedPageBreak/>
        <w:tab/>
      </w:r>
      <w:r w:rsidR="00933E4D" w:rsidRPr="00E63FDF">
        <w:rPr>
          <w:position w:val="-26"/>
          <w:lang w:val="es-EC"/>
        </w:rPr>
        <w:object w:dxaOrig="3840" w:dyaOrig="639" w14:anchorId="3B23AEC1">
          <v:shape id="_x0000_i1035" type="#_x0000_t75" style="width:192.5pt;height:30.65pt" o:ole="">
            <v:imagedata r:id="rId29" o:title=""/>
          </v:shape>
          <o:OLEObject Type="Embed" ProgID="Equation.DSMT4" ShapeID="_x0000_i1035" DrawAspect="Content" ObjectID="_1817357237" r:id="rId30"/>
        </w:object>
      </w:r>
      <w:r w:rsidRPr="00933E4D">
        <w:rPr>
          <w:lang w:val="es-EC"/>
        </w:rPr>
        <w:t xml:space="preserve"> </w:t>
      </w:r>
      <w:r w:rsidRPr="00933E4D">
        <w:rPr>
          <w:lang w:val="es-EC"/>
        </w:rPr>
        <w:tab/>
      </w:r>
      <w:r w:rsidRPr="004123DA">
        <w:rPr>
          <w:lang w:val="es-EC"/>
        </w:rPr>
        <w:fldChar w:fldCharType="begin"/>
      </w:r>
      <w:r w:rsidRPr="00933E4D">
        <w:rPr>
          <w:lang w:val="es-EC"/>
        </w:rPr>
        <w:instrText xml:space="preserve"> MACROBUTTON MTPlaceRef \* MERGEFORMAT </w:instrText>
      </w:r>
      <w:r w:rsidRPr="004123DA">
        <w:rPr>
          <w:lang w:val="es-EC"/>
        </w:rPr>
        <w:fldChar w:fldCharType="begin"/>
      </w:r>
      <w:r w:rsidRPr="00933E4D">
        <w:rPr>
          <w:lang w:val="es-EC"/>
        </w:rPr>
        <w:instrText xml:space="preserve"> SEQ MTEqn \h \* MERGEFORMAT </w:instrText>
      </w:r>
      <w:r w:rsidRPr="004123DA">
        <w:rPr>
          <w:lang w:val="es-EC"/>
        </w:rPr>
        <w:fldChar w:fldCharType="end"/>
      </w:r>
      <w:r w:rsidRPr="00933E4D">
        <w:rPr>
          <w:lang w:val="es-EC"/>
        </w:rPr>
        <w:instrText>(</w:instrText>
      </w:r>
      <w:r w:rsidRPr="004123DA">
        <w:rPr>
          <w:lang w:val="es-EC"/>
        </w:rPr>
        <w:fldChar w:fldCharType="begin"/>
      </w:r>
      <w:r w:rsidRPr="00933E4D">
        <w:rPr>
          <w:lang w:val="es-EC"/>
        </w:rPr>
        <w:instrText xml:space="preserve"> SEQ MTEqn \c \* Arabic \* MERGEFORMAT </w:instrText>
      </w:r>
      <w:r w:rsidRPr="004123DA">
        <w:rPr>
          <w:lang w:val="es-EC"/>
        </w:rPr>
        <w:fldChar w:fldCharType="separate"/>
      </w:r>
      <w:r w:rsidR="00807771">
        <w:rPr>
          <w:noProof/>
          <w:lang w:val="es-EC"/>
        </w:rPr>
        <w:instrText>10</w:instrText>
      </w:r>
      <w:r w:rsidRPr="004123DA">
        <w:rPr>
          <w:noProof/>
          <w:lang w:val="es-EC"/>
        </w:rPr>
        <w:fldChar w:fldCharType="end"/>
      </w:r>
      <w:r w:rsidRPr="00933E4D">
        <w:rPr>
          <w:lang w:val="es-EC"/>
        </w:rPr>
        <w:instrText>)</w:instrText>
      </w:r>
      <w:r w:rsidRPr="004123DA">
        <w:rPr>
          <w:lang w:val="es-EC"/>
        </w:rPr>
        <w:fldChar w:fldCharType="end"/>
      </w:r>
    </w:p>
    <w:p w14:paraId="643BFAE1" w14:textId="77777777" w:rsidR="00E63FDF" w:rsidRPr="00933E4D" w:rsidRDefault="00E63FDF" w:rsidP="00E63FDF">
      <w:pPr>
        <w:pStyle w:val="MTDisplayEquation"/>
        <w:spacing w:before="120"/>
        <w:rPr>
          <w:lang w:val="es-EC"/>
        </w:rPr>
      </w:pPr>
      <w:r w:rsidRPr="00933E4D">
        <w:rPr>
          <w:lang w:val="es-EC"/>
        </w:rPr>
        <w:tab/>
      </w:r>
      <w:r w:rsidR="00933E4D" w:rsidRPr="00E63FDF">
        <w:rPr>
          <w:position w:val="-26"/>
          <w:lang w:val="es-EC"/>
        </w:rPr>
        <w:object w:dxaOrig="2460" w:dyaOrig="639" w14:anchorId="56BE7930">
          <v:shape id="_x0000_i1036" type="#_x0000_t75" style="width:123.35pt;height:30.65pt" o:ole="">
            <v:imagedata r:id="rId31" o:title=""/>
          </v:shape>
          <o:OLEObject Type="Embed" ProgID="Equation.DSMT4" ShapeID="_x0000_i1036" DrawAspect="Content" ObjectID="_1817357238" r:id="rId32"/>
        </w:object>
      </w:r>
      <w:r w:rsidRPr="00933E4D">
        <w:rPr>
          <w:lang w:val="es-EC"/>
        </w:rPr>
        <w:t xml:space="preserve"> </w:t>
      </w:r>
      <w:r w:rsidRPr="00933E4D">
        <w:rPr>
          <w:lang w:val="es-EC"/>
        </w:rPr>
        <w:tab/>
      </w:r>
      <w:r w:rsidRPr="004123DA">
        <w:rPr>
          <w:lang w:val="es-EC"/>
        </w:rPr>
        <w:fldChar w:fldCharType="begin"/>
      </w:r>
      <w:r w:rsidRPr="00933E4D">
        <w:rPr>
          <w:lang w:val="es-EC"/>
        </w:rPr>
        <w:instrText xml:space="preserve"> MACROBUTTON MTPlaceRef \* MERGEFORMAT </w:instrText>
      </w:r>
      <w:r w:rsidRPr="004123DA">
        <w:rPr>
          <w:lang w:val="es-EC"/>
        </w:rPr>
        <w:fldChar w:fldCharType="begin"/>
      </w:r>
      <w:r w:rsidRPr="00933E4D">
        <w:rPr>
          <w:lang w:val="es-EC"/>
        </w:rPr>
        <w:instrText xml:space="preserve"> SEQ MTEqn \h \* MERGEFORMAT </w:instrText>
      </w:r>
      <w:r w:rsidRPr="004123DA">
        <w:rPr>
          <w:lang w:val="es-EC"/>
        </w:rPr>
        <w:fldChar w:fldCharType="end"/>
      </w:r>
      <w:r w:rsidRPr="00933E4D">
        <w:rPr>
          <w:lang w:val="es-EC"/>
        </w:rPr>
        <w:instrText>(</w:instrText>
      </w:r>
      <w:r w:rsidRPr="004123DA">
        <w:rPr>
          <w:lang w:val="es-EC"/>
        </w:rPr>
        <w:fldChar w:fldCharType="begin"/>
      </w:r>
      <w:r w:rsidRPr="00933E4D">
        <w:rPr>
          <w:lang w:val="es-EC"/>
        </w:rPr>
        <w:instrText xml:space="preserve"> SEQ MTEqn \c \* Arabic \* MERGEFORMAT </w:instrText>
      </w:r>
      <w:r w:rsidRPr="004123DA">
        <w:rPr>
          <w:lang w:val="es-EC"/>
        </w:rPr>
        <w:fldChar w:fldCharType="separate"/>
      </w:r>
      <w:r w:rsidR="00807771">
        <w:rPr>
          <w:noProof/>
          <w:lang w:val="es-EC"/>
        </w:rPr>
        <w:instrText>11</w:instrText>
      </w:r>
      <w:r w:rsidRPr="004123DA">
        <w:rPr>
          <w:noProof/>
          <w:lang w:val="es-EC"/>
        </w:rPr>
        <w:fldChar w:fldCharType="end"/>
      </w:r>
      <w:r w:rsidRPr="00933E4D">
        <w:rPr>
          <w:lang w:val="es-EC"/>
        </w:rPr>
        <w:instrText>)</w:instrText>
      </w:r>
      <w:r w:rsidRPr="004123DA">
        <w:rPr>
          <w:lang w:val="es-EC"/>
        </w:rPr>
        <w:fldChar w:fldCharType="end"/>
      </w:r>
    </w:p>
    <w:p w14:paraId="45855E76" w14:textId="175F9810" w:rsidR="00933E4D" w:rsidRPr="00933E4D" w:rsidRDefault="00933E4D" w:rsidP="00933E4D">
      <w:pPr>
        <w:pStyle w:val="Text"/>
        <w:rPr>
          <w:lang w:val="es-EC"/>
        </w:rPr>
      </w:pPr>
      <w:r w:rsidRPr="00933E4D">
        <w:rPr>
          <w:lang w:val="es-EC"/>
        </w:rPr>
        <w:t>Expresiones análogas a las presentadas en (</w:t>
      </w:r>
      <w:r>
        <w:rPr>
          <w:lang w:val="es-EC"/>
        </w:rPr>
        <w:t>8</w:t>
      </w:r>
      <w:r w:rsidRPr="00933E4D">
        <w:rPr>
          <w:lang w:val="es-EC"/>
        </w:rPr>
        <w:t>)</w:t>
      </w:r>
      <w:r>
        <w:rPr>
          <w:lang w:val="es-EC"/>
        </w:rPr>
        <w:t xml:space="preserve"> y (9)</w:t>
      </w:r>
      <w:r w:rsidRPr="00933E4D">
        <w:rPr>
          <w:lang w:val="es-EC"/>
        </w:rPr>
        <w:t xml:space="preserve"> se pueden obtener para los planos-E y plano-H, ahora para el modo de propagación TM10, mas, en este caso la componente nula se intercambia entre </w:t>
      </w:r>
      <w:r w:rsidRPr="00933E4D">
        <w:rPr>
          <w:i/>
          <w:lang w:val="es-EC"/>
        </w:rPr>
        <w:t>E</w:t>
      </w:r>
      <w:r w:rsidRPr="00933E4D">
        <w:rPr>
          <w:rFonts w:ascii="Symbol" w:hAnsi="Symbol"/>
          <w:vertAlign w:val="subscript"/>
          <w:lang w:val="es-EC"/>
        </w:rPr>
        <w:t></w:t>
      </w:r>
      <w:r w:rsidRPr="00933E4D">
        <w:rPr>
          <w:lang w:val="es-EC"/>
        </w:rPr>
        <w:t xml:space="preserve"> y </w:t>
      </w:r>
      <w:r w:rsidRPr="00933E4D">
        <w:rPr>
          <w:i/>
          <w:lang w:val="es-EC"/>
        </w:rPr>
        <w:t>E</w:t>
      </w:r>
      <w:r w:rsidRPr="00933E4D">
        <w:rPr>
          <w:rFonts w:ascii="Symbol" w:hAnsi="Symbol"/>
          <w:vertAlign w:val="subscript"/>
          <w:lang w:val="es-EC"/>
        </w:rPr>
        <w:t></w:t>
      </w:r>
      <w:r w:rsidRPr="00933E4D">
        <w:rPr>
          <w:lang w:val="es-EC"/>
        </w:rPr>
        <w:t xml:space="preserve">. </w:t>
      </w:r>
    </w:p>
    <w:p w14:paraId="2885B7B3" w14:textId="031FD1C1" w:rsidR="00933E4D" w:rsidRPr="00933E4D" w:rsidRDefault="00933E4D" w:rsidP="00933E4D">
      <w:pPr>
        <w:pStyle w:val="Text"/>
        <w:rPr>
          <w:lang w:val="es-EC"/>
        </w:rPr>
      </w:pPr>
      <w:r w:rsidRPr="00933E4D">
        <w:rPr>
          <w:lang w:val="es-EC"/>
        </w:rPr>
        <w:t>Para obtener la polarización circular</w:t>
      </w:r>
      <w:r w:rsidR="006C12B9">
        <w:rPr>
          <w:lang w:val="es-EC"/>
        </w:rPr>
        <w:t xml:space="preserve">, el punto de alimentación y la geometría del </w:t>
      </w:r>
      <w:proofErr w:type="spellStart"/>
      <w:r w:rsidR="006C12B9">
        <w:rPr>
          <w:lang w:val="es-EC"/>
        </w:rPr>
        <w:t>patch</w:t>
      </w:r>
      <w:proofErr w:type="spellEnd"/>
      <w:r w:rsidR="006C12B9">
        <w:rPr>
          <w:lang w:val="es-EC"/>
        </w:rPr>
        <w:t xml:space="preserve"> deben ser tales que se garantice la</w:t>
      </w:r>
      <w:r w:rsidRPr="00933E4D">
        <w:rPr>
          <w:lang w:val="es-EC"/>
        </w:rPr>
        <w:t xml:space="preserve"> excitación simultánea de los modos TM</w:t>
      </w:r>
      <w:r w:rsidRPr="00933E4D">
        <w:rPr>
          <w:vertAlign w:val="subscript"/>
          <w:lang w:val="es-EC"/>
        </w:rPr>
        <w:t>01</w:t>
      </w:r>
      <w:r w:rsidRPr="00933E4D">
        <w:rPr>
          <w:lang w:val="es-EC"/>
        </w:rPr>
        <w:t xml:space="preserve"> y TM</w:t>
      </w:r>
      <w:r w:rsidRPr="00933E4D">
        <w:rPr>
          <w:vertAlign w:val="subscript"/>
          <w:lang w:val="es-EC"/>
        </w:rPr>
        <w:t>10</w:t>
      </w:r>
      <w:r w:rsidRPr="00933E4D">
        <w:rPr>
          <w:lang w:val="es-EC"/>
        </w:rPr>
        <w:t>. Adicionalmente, estos modos deben estar</w:t>
      </w:r>
      <w:r w:rsidR="006C12B9">
        <w:rPr>
          <w:lang w:val="es-EC"/>
        </w:rPr>
        <w:t xml:space="preserve"> temporalmente y geométricamente</w:t>
      </w:r>
      <w:r w:rsidRPr="00933E4D">
        <w:rPr>
          <w:lang w:val="es-EC"/>
        </w:rPr>
        <w:t xml:space="preserve"> desplazados de 90º. Estas condiciones se logran, en la geometría casi cuadrada, cuando las dimensiones de los lados </w:t>
      </w:r>
      <w:proofErr w:type="spellStart"/>
      <w:r w:rsidRPr="00933E4D">
        <w:rPr>
          <w:i/>
          <w:lang w:val="es-EC"/>
        </w:rPr>
        <w:t>a</w:t>
      </w:r>
      <w:r w:rsidRPr="00933E4D">
        <w:rPr>
          <w:i/>
          <w:vertAlign w:val="subscript"/>
          <w:lang w:val="es-EC"/>
        </w:rPr>
        <w:t>eff</w:t>
      </w:r>
      <w:proofErr w:type="spellEnd"/>
      <w:r w:rsidRPr="00933E4D">
        <w:rPr>
          <w:lang w:val="es-EC"/>
        </w:rPr>
        <w:t xml:space="preserve"> y </w:t>
      </w:r>
      <w:proofErr w:type="spellStart"/>
      <w:r w:rsidRPr="00933E4D">
        <w:rPr>
          <w:i/>
          <w:lang w:val="es-EC"/>
        </w:rPr>
        <w:t>b</w:t>
      </w:r>
      <w:r w:rsidRPr="00933E4D">
        <w:rPr>
          <w:i/>
          <w:vertAlign w:val="subscript"/>
          <w:lang w:val="es-EC"/>
        </w:rPr>
        <w:t>eff</w:t>
      </w:r>
      <w:proofErr w:type="spellEnd"/>
      <w:r w:rsidRPr="00933E4D">
        <w:rPr>
          <w:lang w:val="es-EC"/>
        </w:rPr>
        <w:t xml:space="preserve"> son similares (condición para excitar simultáneamente de los modos TM</w:t>
      </w:r>
      <w:r w:rsidRPr="00933E4D">
        <w:rPr>
          <w:vertAlign w:val="subscript"/>
          <w:lang w:val="es-EC"/>
        </w:rPr>
        <w:t>01</w:t>
      </w:r>
      <w:r w:rsidRPr="00933E4D">
        <w:rPr>
          <w:lang w:val="es-EC"/>
        </w:rPr>
        <w:t xml:space="preserve"> y TM</w:t>
      </w:r>
      <w:r w:rsidRPr="00933E4D">
        <w:rPr>
          <w:vertAlign w:val="subscript"/>
          <w:lang w:val="es-EC"/>
        </w:rPr>
        <w:t>10</w:t>
      </w:r>
      <w:r w:rsidRPr="00933E4D">
        <w:rPr>
          <w:lang w:val="es-EC"/>
        </w:rPr>
        <w:t xml:space="preserve">) y posicionando la prueba coaxial alrededor de la diagonal del </w:t>
      </w:r>
      <w:proofErr w:type="spellStart"/>
      <w:r w:rsidRPr="00933E4D">
        <w:rPr>
          <w:lang w:val="es-EC"/>
        </w:rPr>
        <w:t>patch</w:t>
      </w:r>
      <w:proofErr w:type="spellEnd"/>
      <w:r w:rsidRPr="00933E4D">
        <w:rPr>
          <w:lang w:val="es-EC"/>
        </w:rPr>
        <w:t xml:space="preserve"> [11]</w:t>
      </w:r>
      <w:r>
        <w:rPr>
          <w:lang w:val="es-EC"/>
        </w:rPr>
        <w:t>-</w:t>
      </w:r>
      <w:r w:rsidRPr="00933E4D">
        <w:rPr>
          <w:lang w:val="es-EC"/>
        </w:rPr>
        <w:t xml:space="preserve">[15]. </w:t>
      </w:r>
    </w:p>
    <w:p w14:paraId="2CE517E8" w14:textId="2931F2DE" w:rsidR="00933E4D" w:rsidRPr="00933E4D" w:rsidRDefault="00933E4D" w:rsidP="00933E4D">
      <w:pPr>
        <w:pStyle w:val="Text"/>
        <w:rPr>
          <w:lang w:val="es-EC"/>
        </w:rPr>
      </w:pPr>
      <w:r w:rsidRPr="00933E4D">
        <w:rPr>
          <w:lang w:val="es-EC"/>
        </w:rPr>
        <w:t>Analizando el comportamiento del desempeño de la impedancia de entrada (</w:t>
      </w:r>
      <w:r>
        <w:rPr>
          <w:lang w:val="es-EC"/>
        </w:rPr>
        <w:t>6</w:t>
      </w:r>
      <w:r w:rsidRPr="00933E4D">
        <w:rPr>
          <w:lang w:val="es-EC"/>
        </w:rPr>
        <w:t>), para el modo TM</w:t>
      </w:r>
      <w:r w:rsidRPr="00933E4D">
        <w:rPr>
          <w:vertAlign w:val="subscript"/>
          <w:lang w:val="es-EC"/>
        </w:rPr>
        <w:t>01</w:t>
      </w:r>
      <w:r w:rsidRPr="00933E4D">
        <w:rPr>
          <w:lang w:val="es-EC"/>
        </w:rPr>
        <w:t xml:space="preserve"> o TM</w:t>
      </w:r>
      <w:r w:rsidRPr="00933E4D">
        <w:rPr>
          <w:vertAlign w:val="subscript"/>
          <w:lang w:val="es-EC"/>
        </w:rPr>
        <w:t>10</w:t>
      </w:r>
      <w:r w:rsidRPr="00933E4D">
        <w:rPr>
          <w:lang w:val="es-EC"/>
        </w:rPr>
        <w:t xml:space="preserve">, se puede concluir que el valor de impedancia que se obtienen cuando la punta de prueba se posiciona en cualquiera de las esquinas de la diagonal del </w:t>
      </w:r>
      <w:proofErr w:type="spellStart"/>
      <w:r w:rsidRPr="00933E4D">
        <w:rPr>
          <w:lang w:val="es-EC"/>
        </w:rPr>
        <w:t>patch</w:t>
      </w:r>
      <w:proofErr w:type="spellEnd"/>
      <w:r w:rsidRPr="00933E4D">
        <w:rPr>
          <w:lang w:val="es-EC"/>
        </w:rPr>
        <w:t xml:space="preserve"> (denominada de impedancia de borde) son sumamente altas y del orden de centenas de </w:t>
      </w:r>
      <w:proofErr w:type="spellStart"/>
      <w:r w:rsidRPr="00933E4D">
        <w:rPr>
          <w:lang w:val="es-EC"/>
        </w:rPr>
        <w:t>ohms</w:t>
      </w:r>
      <w:proofErr w:type="spellEnd"/>
      <w:r w:rsidRPr="00933E4D">
        <w:rPr>
          <w:lang w:val="es-EC"/>
        </w:rPr>
        <w:t>. Esto hace que el descasamiento entre la prueba coaxial (típicamente 50</w:t>
      </w:r>
      <w:r w:rsidRPr="00933E4D">
        <w:rPr>
          <w:rFonts w:ascii="Symbol" w:hAnsi="Symbol"/>
          <w:lang w:val="es-EC"/>
        </w:rPr>
        <w:t></w:t>
      </w:r>
      <w:r w:rsidRPr="00933E4D">
        <w:rPr>
          <w:lang w:val="es-EC"/>
        </w:rPr>
        <w:t xml:space="preserve"> o 75</w:t>
      </w:r>
      <w:r w:rsidRPr="00933E4D">
        <w:rPr>
          <w:rFonts w:ascii="Symbol" w:hAnsi="Symbol"/>
          <w:lang w:val="es-EC"/>
        </w:rPr>
        <w:t></w:t>
      </w:r>
      <w:r w:rsidRPr="00933E4D">
        <w:rPr>
          <w:lang w:val="es-EC"/>
        </w:rPr>
        <w:t xml:space="preserve">) y la impedancia de borde </w:t>
      </w:r>
      <w:r w:rsidR="006C12B9">
        <w:rPr>
          <w:lang w:val="es-EC"/>
        </w:rPr>
        <w:t>sea</w:t>
      </w:r>
      <w:r w:rsidRPr="00933E4D">
        <w:rPr>
          <w:lang w:val="es-EC"/>
        </w:rPr>
        <w:t xml:space="preserve"> una dificultad a más en el diseño. En este punto se debe resaltar que una de las características intrínsecas de las antenas de microcinta es la posibilidad de integrar circuitería de microondas. Por lo tanto, se puede usar esta característica e integrar un circuito de acoplamiento de impedancia al </w:t>
      </w:r>
      <w:proofErr w:type="spellStart"/>
      <w:r w:rsidRPr="00933E4D">
        <w:rPr>
          <w:lang w:val="es-EC"/>
        </w:rPr>
        <w:t>patch</w:t>
      </w:r>
      <w:proofErr w:type="spellEnd"/>
      <w:r w:rsidRPr="00933E4D">
        <w:rPr>
          <w:lang w:val="es-EC"/>
        </w:rPr>
        <w:t xml:space="preserve">. Este acoplador podría estar constituido por una sección de línea de transmisión que funciona como un desfaje adicional y un transformador </w:t>
      </w:r>
      <w:r w:rsidRPr="00933E4D">
        <w:rPr>
          <w:rFonts w:ascii="Symbol" w:hAnsi="Symbol"/>
          <w:lang w:val="es-EC"/>
        </w:rPr>
        <w:t></w:t>
      </w:r>
      <w:r w:rsidRPr="00933E4D">
        <w:rPr>
          <w:lang w:val="es-EC"/>
        </w:rPr>
        <w:t xml:space="preserve">/4, por ejemplo. Esto permite minimizar el valor de |S11| y garantizar el acoplamiento de impedancia necesario. En este trabajo solo se </w:t>
      </w:r>
      <w:r w:rsidR="006C12B9">
        <w:rPr>
          <w:lang w:val="es-EC"/>
        </w:rPr>
        <w:t>consideran los efectos producidos por la adición de la línea de transmisión, ya que</w:t>
      </w:r>
      <w:r w:rsidRPr="00933E4D">
        <w:rPr>
          <w:lang w:val="es-EC"/>
        </w:rPr>
        <w:t xml:space="preserve"> el acoplamiento con un conector SMA será presentado futuramente. </w:t>
      </w:r>
    </w:p>
    <w:p w14:paraId="572CEAAB" w14:textId="447648A3" w:rsidR="00D010B7" w:rsidRPr="00E63FDF" w:rsidRDefault="00933E4D" w:rsidP="00933E4D">
      <w:pPr>
        <w:pStyle w:val="Text"/>
        <w:rPr>
          <w:lang w:val="es-EC"/>
        </w:rPr>
      </w:pPr>
      <w:r w:rsidRPr="00933E4D">
        <w:rPr>
          <w:lang w:val="es-EC"/>
        </w:rPr>
        <w:t>Para garantizar la coexistencia simultánea de los modos TM</w:t>
      </w:r>
      <w:r w:rsidRPr="00933E4D">
        <w:rPr>
          <w:vertAlign w:val="subscript"/>
          <w:lang w:val="es-EC"/>
        </w:rPr>
        <w:t>10</w:t>
      </w:r>
      <w:r w:rsidRPr="00933E4D">
        <w:rPr>
          <w:lang w:val="es-EC"/>
        </w:rPr>
        <w:t xml:space="preserve"> y TM</w:t>
      </w:r>
      <w:r w:rsidRPr="00933E4D">
        <w:rPr>
          <w:vertAlign w:val="subscript"/>
          <w:lang w:val="es-EC"/>
        </w:rPr>
        <w:t>01</w:t>
      </w:r>
      <w:r w:rsidRPr="00933E4D">
        <w:rPr>
          <w:lang w:val="es-EC"/>
        </w:rPr>
        <w:t xml:space="preserve">, observe (1), las dimensiones de </w:t>
      </w:r>
      <w:r w:rsidRPr="00933E4D">
        <w:rPr>
          <w:i/>
          <w:lang w:val="es-EC"/>
        </w:rPr>
        <w:t>a</w:t>
      </w:r>
      <w:r w:rsidRPr="00933E4D">
        <w:rPr>
          <w:lang w:val="es-EC"/>
        </w:rPr>
        <w:t xml:space="preserve"> y </w:t>
      </w:r>
      <w:r w:rsidRPr="00933E4D">
        <w:rPr>
          <w:i/>
          <w:lang w:val="es-EC"/>
        </w:rPr>
        <w:t>b</w:t>
      </w:r>
      <w:r w:rsidRPr="00933E4D">
        <w:rPr>
          <w:lang w:val="es-EC"/>
        </w:rPr>
        <w:t xml:space="preserve"> deben ser muy próximas a </w:t>
      </w:r>
      <w:r w:rsidRPr="00933E4D">
        <w:rPr>
          <w:rFonts w:ascii="Symbol" w:hAnsi="Symbol"/>
          <w:lang w:val="es-EC"/>
        </w:rPr>
        <w:t></w:t>
      </w:r>
      <w:r w:rsidRPr="00933E4D">
        <w:rPr>
          <w:vertAlign w:val="subscript"/>
          <w:lang w:val="es-EC"/>
        </w:rPr>
        <w:t>g</w:t>
      </w:r>
      <w:r w:rsidRPr="00933E4D">
        <w:rPr>
          <w:lang w:val="es-EC"/>
        </w:rPr>
        <w:t xml:space="preserve"> /2 – donde </w:t>
      </w:r>
      <w:r w:rsidRPr="00933E4D">
        <w:rPr>
          <w:rFonts w:ascii="Symbol" w:hAnsi="Symbol"/>
          <w:lang w:val="es-EC"/>
        </w:rPr>
        <w:t></w:t>
      </w:r>
      <w:r w:rsidRPr="00933E4D">
        <w:rPr>
          <w:vertAlign w:val="subscript"/>
          <w:lang w:val="es-EC"/>
        </w:rPr>
        <w:t>g</w:t>
      </w:r>
      <w:r w:rsidRPr="00933E4D">
        <w:rPr>
          <w:lang w:val="es-EC"/>
        </w:rPr>
        <w:t xml:space="preserve"> se puede calcular, en una primera aproximación, como </w:t>
      </w:r>
      <w:r w:rsidRPr="00933E4D">
        <w:rPr>
          <w:rFonts w:ascii="Symbol" w:hAnsi="Symbol"/>
          <w:lang w:val="es-EC"/>
        </w:rPr>
        <w:t></w:t>
      </w:r>
      <w:r w:rsidRPr="00933E4D">
        <w:rPr>
          <w:vertAlign w:val="subscript"/>
          <w:lang w:val="es-EC"/>
        </w:rPr>
        <w:t>0</w:t>
      </w:r>
      <w:r w:rsidRPr="00933E4D">
        <w:rPr>
          <w:lang w:val="es-EC"/>
        </w:rPr>
        <w:t xml:space="preserve"> / (</w:t>
      </w:r>
      <w:r w:rsidRPr="00933E4D">
        <w:rPr>
          <w:rFonts w:ascii="Symbol" w:hAnsi="Symbol"/>
          <w:lang w:val="es-EC"/>
        </w:rPr>
        <w:t></w:t>
      </w:r>
      <w:r w:rsidRPr="00933E4D">
        <w:rPr>
          <w:i/>
          <w:vertAlign w:val="subscript"/>
          <w:lang w:val="es-EC"/>
        </w:rPr>
        <w:t>r</w:t>
      </w:r>
      <w:r w:rsidRPr="00933E4D">
        <w:rPr>
          <w:lang w:val="es-EC"/>
        </w:rPr>
        <w:t>)</w:t>
      </w:r>
      <w:r w:rsidRPr="00933E4D">
        <w:rPr>
          <w:vertAlign w:val="superscript"/>
          <w:lang w:val="es-EC"/>
        </w:rPr>
        <w:t>1/2</w:t>
      </w:r>
      <w:r w:rsidRPr="00933E4D">
        <w:rPr>
          <w:lang w:val="es-EC"/>
        </w:rPr>
        <w:t>. Para la frecuencia de operación de 1</w:t>
      </w:r>
      <w:r w:rsidR="006C12B9">
        <w:rPr>
          <w:lang w:val="es-EC"/>
        </w:rPr>
        <w:t>.</w:t>
      </w:r>
      <w:r w:rsidRPr="00933E4D">
        <w:rPr>
          <w:lang w:val="es-EC"/>
        </w:rPr>
        <w:t xml:space="preserve">575 GHz y con el </w:t>
      </w:r>
      <w:r w:rsidRPr="00933E4D">
        <w:rPr>
          <w:rFonts w:ascii="Symbol" w:hAnsi="Symbol"/>
          <w:lang w:val="es-EC"/>
        </w:rPr>
        <w:t></w:t>
      </w:r>
      <w:r w:rsidRPr="00933E4D">
        <w:rPr>
          <w:vertAlign w:val="subscript"/>
          <w:lang w:val="es-EC"/>
        </w:rPr>
        <w:t>r</w:t>
      </w:r>
      <w:r w:rsidRPr="00933E4D">
        <w:rPr>
          <w:lang w:val="es-EC"/>
        </w:rPr>
        <w:t xml:space="preserve"> igual a 9</w:t>
      </w:r>
      <w:r w:rsidR="006C12B9">
        <w:rPr>
          <w:lang w:val="es-EC"/>
        </w:rPr>
        <w:t>.</w:t>
      </w:r>
      <w:r w:rsidRPr="00933E4D">
        <w:rPr>
          <w:lang w:val="es-EC"/>
        </w:rPr>
        <w:t xml:space="preserve">8 la dimensión de </w:t>
      </w:r>
      <w:r w:rsidRPr="00933E4D">
        <w:rPr>
          <w:i/>
          <w:lang w:val="es-EC"/>
        </w:rPr>
        <w:t>a</w:t>
      </w:r>
      <w:r w:rsidRPr="00933E4D">
        <w:rPr>
          <w:lang w:val="es-EC"/>
        </w:rPr>
        <w:t xml:space="preserve"> </w:t>
      </w:r>
      <w:r w:rsidRPr="00933E4D">
        <w:rPr>
          <w:rFonts w:ascii="Symbol" w:hAnsi="Symbol"/>
          <w:lang w:val="es-EC"/>
        </w:rPr>
        <w:t></w:t>
      </w:r>
      <w:r w:rsidRPr="00933E4D">
        <w:rPr>
          <w:lang w:val="es-EC"/>
        </w:rPr>
        <w:t xml:space="preserve"> </w:t>
      </w:r>
      <w:r w:rsidRPr="00933E4D">
        <w:rPr>
          <w:i/>
          <w:lang w:val="es-EC"/>
        </w:rPr>
        <w:t>b</w:t>
      </w:r>
      <w:r w:rsidRPr="00933E4D">
        <w:rPr>
          <w:lang w:val="es-EC"/>
        </w:rPr>
        <w:t xml:space="preserve"> = 30</w:t>
      </w:r>
      <w:r w:rsidR="006C12B9">
        <w:rPr>
          <w:lang w:val="es-EC"/>
        </w:rPr>
        <w:t>.</w:t>
      </w:r>
      <w:r w:rsidRPr="00933E4D">
        <w:rPr>
          <w:lang w:val="es-EC"/>
        </w:rPr>
        <w:t xml:space="preserve">41 </w:t>
      </w:r>
      <w:proofErr w:type="spellStart"/>
      <w:r w:rsidRPr="00933E4D">
        <w:rPr>
          <w:lang w:val="es-EC"/>
        </w:rPr>
        <w:t>mm.</w:t>
      </w:r>
      <w:proofErr w:type="spellEnd"/>
      <w:r w:rsidRPr="00933E4D">
        <w:rPr>
          <w:lang w:val="es-EC"/>
        </w:rPr>
        <w:t xml:space="preserve"> Para completar las dimensiones de la geometría inicial se considera que </w:t>
      </w:r>
      <w:r w:rsidRPr="00933E4D">
        <w:rPr>
          <w:i/>
          <w:lang w:val="es-EC"/>
        </w:rPr>
        <w:t>x</w:t>
      </w:r>
      <w:r w:rsidRPr="00933E4D">
        <w:rPr>
          <w:lang w:val="es-EC"/>
        </w:rPr>
        <w:t xml:space="preserve">’ = </w:t>
      </w:r>
      <w:r w:rsidRPr="00933E4D">
        <w:rPr>
          <w:i/>
          <w:lang w:val="es-EC"/>
        </w:rPr>
        <w:t>y</w:t>
      </w:r>
      <w:r w:rsidRPr="00933E4D">
        <w:rPr>
          <w:lang w:val="es-EC"/>
        </w:rPr>
        <w:t xml:space="preserve">’= 30.41 </w:t>
      </w:r>
      <w:proofErr w:type="spellStart"/>
      <w:r w:rsidRPr="00933E4D">
        <w:rPr>
          <w:lang w:val="es-EC"/>
        </w:rPr>
        <w:t>mm.</w:t>
      </w:r>
      <w:proofErr w:type="spellEnd"/>
      <w:r w:rsidRPr="00933E4D">
        <w:rPr>
          <w:lang w:val="es-EC"/>
        </w:rPr>
        <w:t xml:space="preserve"> Las dimensiones del </w:t>
      </w:r>
      <w:r w:rsidR="006C12B9">
        <w:rPr>
          <w:lang w:val="es-EC"/>
        </w:rPr>
        <w:t xml:space="preserve">sustrato fueron fijadas a 60 mm x 60 mm y la esquina inferior del </w:t>
      </w:r>
      <w:proofErr w:type="spellStart"/>
      <w:r w:rsidR="006C12B9">
        <w:rPr>
          <w:lang w:val="es-EC"/>
        </w:rPr>
        <w:t>pach</w:t>
      </w:r>
      <w:proofErr w:type="spellEnd"/>
      <w:r w:rsidR="006C12B9">
        <w:rPr>
          <w:lang w:val="es-EC"/>
        </w:rPr>
        <w:t xml:space="preserve"> se desplazó del borde del sustrato</w:t>
      </w:r>
      <w:r w:rsidRPr="00933E4D">
        <w:rPr>
          <w:lang w:val="es-EC"/>
        </w:rPr>
        <w:t xml:space="preserve"> de 8 </w:t>
      </w:r>
      <w:proofErr w:type="spellStart"/>
      <w:r w:rsidRPr="00933E4D">
        <w:rPr>
          <w:lang w:val="es-EC"/>
        </w:rPr>
        <w:t>mm.</w:t>
      </w:r>
      <w:proofErr w:type="spellEnd"/>
      <w:r w:rsidRPr="00933E4D">
        <w:rPr>
          <w:lang w:val="es-EC"/>
        </w:rPr>
        <w:t xml:space="preserve"> Las dimensiones de la geometría inicial son mostradas en la Fig. 2.</w:t>
      </w:r>
    </w:p>
    <w:p w14:paraId="0BDDC07A" w14:textId="6F852F4B" w:rsidR="00933E4D" w:rsidRPr="00196BAE" w:rsidRDefault="00933E4D" w:rsidP="00933E4D">
      <w:pPr>
        <w:pStyle w:val="Ttulo2"/>
        <w:numPr>
          <w:ilvl w:val="0"/>
          <w:numId w:val="0"/>
        </w:numPr>
        <w:spacing w:before="200"/>
        <w:jc w:val="center"/>
        <w:rPr>
          <w:noProof/>
          <w:lang w:val="es-EC" w:eastAsia="es-EC"/>
        </w:rPr>
      </w:pPr>
      <w:r w:rsidRPr="00124DFA">
        <w:rPr>
          <w:color w:val="000000" w:themeColor="text1"/>
        </w:rPr>
        <w:object w:dxaOrig="12045" w:dyaOrig="6960" w14:anchorId="50B29EDC">
          <v:shape id="_x0000_i1037" type="#_x0000_t75" style="width:230.6pt;height:130.45pt" o:ole="">
            <v:imagedata r:id="rId33" o:title=""/>
          </v:shape>
          <o:OLEObject Type="Embed" ProgID="PBrush" ShapeID="_x0000_i1037" DrawAspect="Content" ObjectID="_1817357239" r:id="rId34"/>
        </w:object>
      </w:r>
    </w:p>
    <w:p w14:paraId="552DBBA5" w14:textId="2C28DB4A" w:rsidR="00933E4D" w:rsidRPr="00807771" w:rsidRDefault="00933E4D" w:rsidP="00933E4D">
      <w:pPr>
        <w:pStyle w:val="figurecaption"/>
        <w:rPr>
          <w:lang w:val="es-EC"/>
        </w:rPr>
      </w:pPr>
      <w:r w:rsidRPr="00807771">
        <w:rPr>
          <w:lang w:val="es-EC"/>
        </w:rPr>
        <w:t>Geometría inicial diseñada a través del método de la cavidad resonante equivalente.</w:t>
      </w:r>
    </w:p>
    <w:p w14:paraId="71339954" w14:textId="7F8FA495" w:rsidR="00D010B7" w:rsidRPr="00E63FDF" w:rsidRDefault="00933E4D" w:rsidP="00A23F11">
      <w:pPr>
        <w:pStyle w:val="Text"/>
        <w:rPr>
          <w:lang w:val="es-EC"/>
        </w:rPr>
      </w:pPr>
      <w:r w:rsidRPr="00933E4D">
        <w:rPr>
          <w:lang w:val="es-EC"/>
        </w:rPr>
        <w:t xml:space="preserve">Las dimensiones calculadas para la geometría inicial, presentadas en la Fig. 2 y que fueron estimadas en el párrafo anterior, serán </w:t>
      </w:r>
      <w:r w:rsidR="006C12B9">
        <w:rPr>
          <w:lang w:val="es-EC"/>
        </w:rPr>
        <w:t>optimizadas</w:t>
      </w:r>
      <w:r w:rsidRPr="00933E4D">
        <w:rPr>
          <w:lang w:val="es-EC"/>
        </w:rPr>
        <w:t xml:space="preserve"> con el auxilio del software HFSS. La guía paso a paso para garantizar la optimización, en términos de, RA, </w:t>
      </w:r>
      <w:proofErr w:type="gramStart"/>
      <w:r w:rsidRPr="00933E4D">
        <w:rPr>
          <w:i/>
          <w:lang w:val="es-EC"/>
        </w:rPr>
        <w:t>D</w:t>
      </w:r>
      <w:r w:rsidRPr="00933E4D">
        <w:rPr>
          <w:lang w:val="es-EC"/>
        </w:rPr>
        <w:t>(</w:t>
      </w:r>
      <w:proofErr w:type="gramEnd"/>
      <w:r w:rsidRPr="00933E4D">
        <w:rPr>
          <w:rFonts w:ascii="Symbol" w:hAnsi="Symbol"/>
          <w:lang w:val="es-EC"/>
        </w:rPr>
        <w:t></w:t>
      </w:r>
      <w:r w:rsidRPr="00933E4D">
        <w:rPr>
          <w:lang w:val="es-EC"/>
        </w:rPr>
        <w:t>,</w:t>
      </w:r>
      <w:r w:rsidRPr="00933E4D">
        <w:rPr>
          <w:rFonts w:ascii="Symbol" w:hAnsi="Symbol"/>
          <w:lang w:val="es-EC"/>
        </w:rPr>
        <w:t></w:t>
      </w:r>
      <w:r w:rsidRPr="00933E4D">
        <w:rPr>
          <w:lang w:val="es-EC"/>
        </w:rPr>
        <w:t xml:space="preserve">) y </w:t>
      </w:r>
      <w:proofErr w:type="spellStart"/>
      <w:r w:rsidRPr="00933E4D">
        <w:rPr>
          <w:lang w:val="es-EC"/>
        </w:rPr>
        <w:t>Zin</w:t>
      </w:r>
      <w:proofErr w:type="spellEnd"/>
      <w:r w:rsidRPr="00933E4D">
        <w:rPr>
          <w:lang w:val="es-EC"/>
        </w:rPr>
        <w:t xml:space="preserve"> se presenta en la próxima sección.</w:t>
      </w:r>
    </w:p>
    <w:p w14:paraId="24BA8169" w14:textId="5F541862" w:rsidR="00933E4D" w:rsidRPr="00933E4D" w:rsidRDefault="00933E4D" w:rsidP="00933E4D">
      <w:pPr>
        <w:pStyle w:val="Ttulo1"/>
        <w:rPr>
          <w:lang w:val="es-EC"/>
        </w:rPr>
      </w:pPr>
      <w:r w:rsidRPr="00933E4D">
        <w:rPr>
          <w:lang w:val="es-EC"/>
        </w:rPr>
        <w:tab/>
        <w:t xml:space="preserve">Optimización De La Geometría Inicial Con Auxilio Del Software HFSS </w:t>
      </w:r>
    </w:p>
    <w:p w14:paraId="22036B45" w14:textId="44A9F79E" w:rsidR="00933E4D" w:rsidRPr="00933E4D" w:rsidRDefault="00933E4D" w:rsidP="00933E4D">
      <w:pPr>
        <w:pStyle w:val="Text"/>
        <w:rPr>
          <w:lang w:val="es-EC"/>
        </w:rPr>
      </w:pPr>
      <w:r w:rsidRPr="00933E4D">
        <w:rPr>
          <w:lang w:val="es-EC"/>
        </w:rPr>
        <w:t>Antes de iniciar con el proceso de optimización</w:t>
      </w:r>
      <w:r w:rsidR="006C12B9">
        <w:rPr>
          <w:lang w:val="es-EC"/>
        </w:rPr>
        <w:t>,</w:t>
      </w:r>
      <w:r w:rsidRPr="00933E4D">
        <w:rPr>
          <w:lang w:val="es-EC"/>
        </w:rPr>
        <w:t xml:space="preserve"> debemos resaltar, de lo expuesto anteriormente, que el modo TM</w:t>
      </w:r>
      <w:r w:rsidRPr="00933E4D">
        <w:rPr>
          <w:vertAlign w:val="subscript"/>
          <w:lang w:val="es-EC"/>
        </w:rPr>
        <w:t>10</w:t>
      </w:r>
      <w:r w:rsidRPr="00933E4D">
        <w:rPr>
          <w:lang w:val="es-EC"/>
        </w:rPr>
        <w:t xml:space="preserve"> es controlado por la dimensión </w:t>
      </w:r>
      <w:r w:rsidRPr="00933E4D">
        <w:rPr>
          <w:i/>
          <w:lang w:val="es-EC"/>
        </w:rPr>
        <w:t>a</w:t>
      </w:r>
      <w:r w:rsidRPr="00933E4D">
        <w:rPr>
          <w:lang w:val="es-EC"/>
        </w:rPr>
        <w:t>, el modo TM</w:t>
      </w:r>
      <w:r w:rsidRPr="00933E4D">
        <w:rPr>
          <w:vertAlign w:val="subscript"/>
          <w:lang w:val="es-EC"/>
        </w:rPr>
        <w:t>01</w:t>
      </w:r>
      <w:r w:rsidRPr="00933E4D">
        <w:rPr>
          <w:lang w:val="es-EC"/>
        </w:rPr>
        <w:t xml:space="preserve"> es controlado por la dimensión </w:t>
      </w:r>
      <w:r w:rsidRPr="00933E4D">
        <w:rPr>
          <w:i/>
          <w:lang w:val="es-EC"/>
        </w:rPr>
        <w:t>b</w:t>
      </w:r>
      <w:r w:rsidRPr="00933E4D">
        <w:rPr>
          <w:lang w:val="es-EC"/>
        </w:rPr>
        <w:t xml:space="preserve">, que la polarización circular requiere que los dos modos coexistan simultáneamente y que la impedancia de borde es del orden de centenas de </w:t>
      </w:r>
      <w:proofErr w:type="spellStart"/>
      <w:r w:rsidRPr="00933E4D">
        <w:rPr>
          <w:lang w:val="es-EC"/>
        </w:rPr>
        <w:t>ohms</w:t>
      </w:r>
      <w:proofErr w:type="spellEnd"/>
      <w:r w:rsidRPr="00933E4D">
        <w:rPr>
          <w:lang w:val="es-EC"/>
        </w:rPr>
        <w:t xml:space="preserve">. </w:t>
      </w:r>
    </w:p>
    <w:p w14:paraId="638E2B57" w14:textId="041D1E93" w:rsidR="00D010B7" w:rsidRPr="00E63FDF" w:rsidRDefault="00933E4D" w:rsidP="00933E4D">
      <w:pPr>
        <w:pStyle w:val="Text"/>
        <w:rPr>
          <w:lang w:val="es-EC"/>
        </w:rPr>
      </w:pPr>
      <w:r w:rsidRPr="00933E4D">
        <w:rPr>
          <w:b/>
          <w:lang w:val="es-EC"/>
        </w:rPr>
        <w:t>Paso uno:</w:t>
      </w:r>
      <w:r w:rsidRPr="00933E4D">
        <w:rPr>
          <w:lang w:val="es-EC"/>
        </w:rPr>
        <w:t xml:space="preserve"> construcción, dentro del entorno de diseño mecánico de HFSS, de la geometría inicial y, adicionalmente, parametrizar todas sus dimensiones para poder realizar una sintonía fina de sus dimensiones y mejorar el desempeño de RA, </w:t>
      </w:r>
      <w:proofErr w:type="gramStart"/>
      <w:r w:rsidRPr="00933E4D">
        <w:rPr>
          <w:i/>
          <w:lang w:val="es-EC"/>
        </w:rPr>
        <w:t>D</w:t>
      </w:r>
      <w:r w:rsidRPr="00933E4D">
        <w:rPr>
          <w:lang w:val="es-EC"/>
        </w:rPr>
        <w:t>(</w:t>
      </w:r>
      <w:proofErr w:type="gramEnd"/>
      <w:r w:rsidRPr="00933E4D">
        <w:rPr>
          <w:rFonts w:ascii="Symbol" w:hAnsi="Symbol"/>
          <w:lang w:val="es-EC"/>
        </w:rPr>
        <w:t></w:t>
      </w:r>
      <w:r w:rsidRPr="00933E4D">
        <w:rPr>
          <w:lang w:val="es-EC"/>
        </w:rPr>
        <w:t>,</w:t>
      </w:r>
      <w:r w:rsidRPr="00933E4D">
        <w:rPr>
          <w:rFonts w:ascii="Symbol" w:hAnsi="Symbol"/>
          <w:lang w:val="es-EC"/>
        </w:rPr>
        <w:t></w:t>
      </w:r>
      <w:r w:rsidRPr="00933E4D">
        <w:rPr>
          <w:lang w:val="es-EC"/>
        </w:rPr>
        <w:t xml:space="preserve">) y </w:t>
      </w:r>
      <w:proofErr w:type="spellStart"/>
      <w:r w:rsidRPr="00933E4D">
        <w:rPr>
          <w:lang w:val="es-EC"/>
        </w:rPr>
        <w:t>Zin</w:t>
      </w:r>
      <w:proofErr w:type="spellEnd"/>
      <w:r w:rsidRPr="00933E4D">
        <w:rPr>
          <w:lang w:val="es-EC"/>
        </w:rPr>
        <w:t xml:space="preserve">. El modelo virtual de la antena construida dentro del entorno del HFSS </w:t>
      </w:r>
      <w:r w:rsidR="006C12B9">
        <w:rPr>
          <w:lang w:val="es-EC"/>
        </w:rPr>
        <w:t>se muestra</w:t>
      </w:r>
      <w:r w:rsidRPr="00933E4D">
        <w:rPr>
          <w:lang w:val="es-EC"/>
        </w:rPr>
        <w:t xml:space="preserve"> en la Fig. 3.</w:t>
      </w:r>
    </w:p>
    <w:p w14:paraId="6E87A4F1" w14:textId="36053B3B" w:rsidR="0001468B" w:rsidRPr="00196BAE" w:rsidRDefault="0001468B" w:rsidP="0001468B">
      <w:pPr>
        <w:pStyle w:val="Ttulo2"/>
        <w:numPr>
          <w:ilvl w:val="0"/>
          <w:numId w:val="0"/>
        </w:numPr>
        <w:spacing w:before="200"/>
        <w:jc w:val="center"/>
        <w:rPr>
          <w:noProof/>
          <w:lang w:val="es-EC" w:eastAsia="es-EC"/>
        </w:rPr>
      </w:pPr>
      <w:r w:rsidRPr="00124DFA">
        <w:rPr>
          <w:color w:val="000000" w:themeColor="text1"/>
        </w:rPr>
        <w:object w:dxaOrig="8295" w:dyaOrig="6705" w14:anchorId="272E4B23">
          <v:shape id="_x0000_i1038" type="#_x0000_t75" style="width:212.45pt;height:171.8pt" o:ole="">
            <v:imagedata r:id="rId35" o:title=""/>
          </v:shape>
          <o:OLEObject Type="Embed" ProgID="PBrush" ShapeID="_x0000_i1038" DrawAspect="Content" ObjectID="_1817357240" r:id="rId36"/>
        </w:object>
      </w:r>
    </w:p>
    <w:p w14:paraId="64CF9C79" w14:textId="2BB82E07" w:rsidR="0001468B" w:rsidRPr="0001468B" w:rsidRDefault="0001468B" w:rsidP="0001468B">
      <w:pPr>
        <w:pStyle w:val="figurecaption"/>
        <w:rPr>
          <w:lang w:val="es-EC"/>
        </w:rPr>
      </w:pPr>
      <w:r w:rsidRPr="0001468B">
        <w:rPr>
          <w:lang w:val="es-EC"/>
        </w:rPr>
        <w:t>Modelo virtual de la geometría inicial construida en HFSS.</w:t>
      </w:r>
    </w:p>
    <w:p w14:paraId="6021A429" w14:textId="3946012C" w:rsidR="00D010B7" w:rsidRPr="00E63FDF" w:rsidRDefault="0001468B" w:rsidP="00A23F11">
      <w:pPr>
        <w:pStyle w:val="Text"/>
        <w:rPr>
          <w:lang w:val="es-EC"/>
        </w:rPr>
      </w:pPr>
      <w:r w:rsidRPr="0001468B">
        <w:rPr>
          <w:lang w:val="es-EC"/>
        </w:rPr>
        <w:t xml:space="preserve">Los materiales que fueron definidos para los elementos destacados en la Fig. 3 son: i) cobre para el </w:t>
      </w:r>
      <w:proofErr w:type="spellStart"/>
      <w:r w:rsidRPr="0001468B">
        <w:rPr>
          <w:lang w:val="es-EC"/>
        </w:rPr>
        <w:t>patch</w:t>
      </w:r>
      <w:proofErr w:type="spellEnd"/>
      <w:r w:rsidRPr="0001468B">
        <w:rPr>
          <w:lang w:val="es-EC"/>
        </w:rPr>
        <w:t xml:space="preserve"> y para el plano de tierra con conductividad eléctrica igual a 58 MS, ii) para el wave </w:t>
      </w:r>
      <w:proofErr w:type="spellStart"/>
      <w:r w:rsidRPr="0001468B">
        <w:rPr>
          <w:lang w:val="es-EC"/>
        </w:rPr>
        <w:t>port</w:t>
      </w:r>
      <w:proofErr w:type="spellEnd"/>
      <w:r w:rsidRPr="0001468B">
        <w:rPr>
          <w:lang w:val="es-EC"/>
        </w:rPr>
        <w:t xml:space="preserve"> se optó por un puerto concentrado interno o </w:t>
      </w:r>
      <w:proofErr w:type="spellStart"/>
      <w:r w:rsidRPr="0001468B">
        <w:rPr>
          <w:lang w:val="es-EC"/>
        </w:rPr>
        <w:t>Lumped</w:t>
      </w:r>
      <w:proofErr w:type="spellEnd"/>
      <w:r w:rsidRPr="0001468B">
        <w:rPr>
          <w:lang w:val="es-EC"/>
        </w:rPr>
        <w:t xml:space="preserve"> Port y iii) para las condiciones de frontera se usó </w:t>
      </w:r>
      <w:r w:rsidRPr="0001468B">
        <w:rPr>
          <w:lang w:val="es-EC"/>
        </w:rPr>
        <w:lastRenderedPageBreak/>
        <w:t>paredes del tipo PML (</w:t>
      </w:r>
      <w:proofErr w:type="spellStart"/>
      <w:r w:rsidRPr="0001468B">
        <w:rPr>
          <w:lang w:val="es-EC"/>
        </w:rPr>
        <w:t>Perfectly</w:t>
      </w:r>
      <w:proofErr w:type="spellEnd"/>
      <w:r w:rsidRPr="0001468B">
        <w:rPr>
          <w:lang w:val="es-EC"/>
        </w:rPr>
        <w:t xml:space="preserve"> </w:t>
      </w:r>
      <w:proofErr w:type="spellStart"/>
      <w:r w:rsidRPr="0001468B">
        <w:rPr>
          <w:lang w:val="es-EC"/>
        </w:rPr>
        <w:t>Matched</w:t>
      </w:r>
      <w:proofErr w:type="spellEnd"/>
      <w:r w:rsidRPr="0001468B">
        <w:rPr>
          <w:lang w:val="es-EC"/>
        </w:rPr>
        <w:t xml:space="preserve"> </w:t>
      </w:r>
      <w:proofErr w:type="spellStart"/>
      <w:r w:rsidRPr="0001468B">
        <w:rPr>
          <w:lang w:val="es-EC"/>
        </w:rPr>
        <w:t>Layer</w:t>
      </w:r>
      <w:proofErr w:type="spellEnd"/>
      <w:r w:rsidRPr="0001468B">
        <w:rPr>
          <w:lang w:val="es-EC"/>
        </w:rPr>
        <w:t>) de acuerdo con lo recomendado en los manuales de HFSS [9].</w:t>
      </w:r>
    </w:p>
    <w:p w14:paraId="1B5BBB15" w14:textId="49615DD5" w:rsidR="0001468B" w:rsidRPr="0001468B" w:rsidRDefault="0001468B" w:rsidP="0001468B">
      <w:pPr>
        <w:pStyle w:val="Text"/>
        <w:rPr>
          <w:lang w:val="es-EC"/>
        </w:rPr>
      </w:pPr>
      <w:r w:rsidRPr="0001468B">
        <w:rPr>
          <w:lang w:val="es-EC"/>
        </w:rPr>
        <w:t>Con el objetivo de que los dos modos de propagación sean excitados, en una primera simulación, se modificó la dimensión del lado b, que controla el modo inferior (TM</w:t>
      </w:r>
      <w:r w:rsidRPr="0001468B">
        <w:rPr>
          <w:vertAlign w:val="subscript"/>
          <w:lang w:val="es-EC"/>
        </w:rPr>
        <w:t>01</w:t>
      </w:r>
      <w:r w:rsidRPr="0001468B">
        <w:rPr>
          <w:lang w:val="es-EC"/>
        </w:rPr>
        <w:t>), a 29</w:t>
      </w:r>
      <w:r w:rsidR="00973CC4">
        <w:rPr>
          <w:lang w:val="es-EC"/>
        </w:rPr>
        <w:t>.</w:t>
      </w:r>
      <w:r w:rsidRPr="0001468B">
        <w:rPr>
          <w:lang w:val="es-EC"/>
        </w:rPr>
        <w:t>41mm (1 mm menor al valor estimado de 30</w:t>
      </w:r>
      <w:r w:rsidR="00973CC4">
        <w:rPr>
          <w:lang w:val="es-EC"/>
        </w:rPr>
        <w:t>.</w:t>
      </w:r>
      <w:r w:rsidRPr="0001468B">
        <w:rPr>
          <w:lang w:val="es-EC"/>
        </w:rPr>
        <w:t xml:space="preserve">41 mm en la sección II), la reducción en el parámetro </w:t>
      </w:r>
      <w:r w:rsidRPr="0001468B">
        <w:rPr>
          <w:i/>
          <w:lang w:val="es-EC"/>
        </w:rPr>
        <w:t>a</w:t>
      </w:r>
      <w:r w:rsidRPr="0001468B">
        <w:rPr>
          <w:lang w:val="es-EC"/>
        </w:rPr>
        <w:t xml:space="preserve">, que controla el modo superior (TM10), dio una dimensión de 27.41 mm y el puerto </w:t>
      </w:r>
      <w:proofErr w:type="spellStart"/>
      <w:r w:rsidRPr="0001468B">
        <w:rPr>
          <w:lang w:val="es-EC"/>
        </w:rPr>
        <w:t>Lumped</w:t>
      </w:r>
      <w:proofErr w:type="spellEnd"/>
      <w:r w:rsidRPr="0001468B">
        <w:rPr>
          <w:lang w:val="es-EC"/>
        </w:rPr>
        <w:t xml:space="preserve"> Port se posicionado en punto (</w:t>
      </w:r>
      <w:r w:rsidRPr="0001468B">
        <w:rPr>
          <w:i/>
          <w:lang w:val="es-EC"/>
        </w:rPr>
        <w:t>a</w:t>
      </w:r>
      <w:r w:rsidRPr="0001468B">
        <w:rPr>
          <w:lang w:val="es-EC"/>
        </w:rPr>
        <w:t>,</w:t>
      </w:r>
      <w:r>
        <w:rPr>
          <w:lang w:val="es-EC"/>
        </w:rPr>
        <w:t xml:space="preserve"> </w:t>
      </w:r>
      <w:r w:rsidRPr="0001468B">
        <w:rPr>
          <w:i/>
          <w:lang w:val="es-EC"/>
        </w:rPr>
        <w:t>b</w:t>
      </w:r>
      <w:r w:rsidRPr="0001468B">
        <w:rPr>
          <w:lang w:val="es-EC"/>
        </w:rPr>
        <w:t>). Para esta simulación</w:t>
      </w:r>
      <w:r w:rsidR="006C12B9">
        <w:rPr>
          <w:lang w:val="es-EC"/>
        </w:rPr>
        <w:t>,</w:t>
      </w:r>
      <w:r w:rsidRPr="0001468B">
        <w:rPr>
          <w:lang w:val="es-EC"/>
        </w:rPr>
        <w:t xml:space="preserve"> las dimensiones </w:t>
      </w:r>
      <w:r w:rsidRPr="0001468B">
        <w:rPr>
          <w:i/>
          <w:lang w:val="es-EC"/>
        </w:rPr>
        <w:t>W</w:t>
      </w:r>
      <w:r w:rsidRPr="0001468B">
        <w:rPr>
          <w:vertAlign w:val="subscript"/>
          <w:lang w:val="es-EC"/>
        </w:rPr>
        <w:t>2</w:t>
      </w:r>
      <w:r w:rsidRPr="0001468B">
        <w:rPr>
          <w:lang w:val="es-EC"/>
        </w:rPr>
        <w:t xml:space="preserve"> y </w:t>
      </w:r>
      <w:r w:rsidRPr="0001468B">
        <w:rPr>
          <w:i/>
          <w:lang w:val="es-EC"/>
        </w:rPr>
        <w:t>W</w:t>
      </w:r>
      <w:r w:rsidRPr="0001468B">
        <w:rPr>
          <w:vertAlign w:val="subscript"/>
          <w:lang w:val="es-EC"/>
        </w:rPr>
        <w:t>3</w:t>
      </w:r>
      <w:r w:rsidRPr="0001468B">
        <w:rPr>
          <w:lang w:val="es-EC"/>
        </w:rPr>
        <w:t xml:space="preserve"> fueron configuradas a 0</w:t>
      </w:r>
      <w:r>
        <w:rPr>
          <w:lang w:val="es-EC"/>
        </w:rPr>
        <w:t> </w:t>
      </w:r>
      <w:proofErr w:type="spellStart"/>
      <w:r w:rsidRPr="0001468B">
        <w:rPr>
          <w:lang w:val="es-EC"/>
        </w:rPr>
        <w:t>mm.</w:t>
      </w:r>
      <w:proofErr w:type="spellEnd"/>
      <w:r w:rsidRPr="0001468B">
        <w:rPr>
          <w:lang w:val="es-EC"/>
        </w:rPr>
        <w:t xml:space="preserve"> La reducción en las dimensiones de los valores de </w:t>
      </w:r>
      <w:r w:rsidRPr="0001468B">
        <w:rPr>
          <w:i/>
          <w:lang w:val="es-EC"/>
        </w:rPr>
        <w:t>a</w:t>
      </w:r>
      <w:r w:rsidRPr="0001468B">
        <w:rPr>
          <w:lang w:val="es-EC"/>
        </w:rPr>
        <w:t xml:space="preserve">, </w:t>
      </w:r>
      <w:r w:rsidRPr="0001468B">
        <w:rPr>
          <w:i/>
          <w:lang w:val="es-EC"/>
        </w:rPr>
        <w:t>b</w:t>
      </w:r>
      <w:r w:rsidRPr="0001468B">
        <w:rPr>
          <w:lang w:val="es-EC"/>
        </w:rPr>
        <w:t xml:space="preserve"> y el posicionamiento del punto de alimentación garantizaron, en principio, que la antena presente polarización RHCP [11]. Los resultados simulados para </w:t>
      </w:r>
      <w:proofErr w:type="spellStart"/>
      <w:r w:rsidRPr="0001468B">
        <w:rPr>
          <w:lang w:val="es-EC"/>
        </w:rPr>
        <w:t>Zin</w:t>
      </w:r>
      <w:proofErr w:type="spellEnd"/>
      <w:r w:rsidRPr="0001468B">
        <w:rPr>
          <w:lang w:val="es-EC"/>
        </w:rPr>
        <w:t xml:space="preserve"> y RA son presentados en la Fig. 4.   </w:t>
      </w:r>
    </w:p>
    <w:p w14:paraId="05A3A6E5" w14:textId="3A482AF6" w:rsidR="00D010B7" w:rsidRPr="00E63FDF" w:rsidRDefault="0001468B" w:rsidP="0001468B">
      <w:pPr>
        <w:pStyle w:val="Text"/>
        <w:spacing w:after="240"/>
        <w:ind w:firstLine="204"/>
        <w:rPr>
          <w:lang w:val="es-EC"/>
        </w:rPr>
      </w:pPr>
      <w:r w:rsidRPr="0001468B">
        <w:rPr>
          <w:lang w:val="es-EC"/>
        </w:rPr>
        <w:t>Observando los gráficos de la Fig</w:t>
      </w:r>
      <w:r>
        <w:rPr>
          <w:lang w:val="es-EC"/>
        </w:rPr>
        <w:t>.</w:t>
      </w:r>
      <w:r w:rsidRPr="0001468B">
        <w:rPr>
          <w:lang w:val="es-EC"/>
        </w:rPr>
        <w:t xml:space="preserve"> 4 se verifica que: i) los dos modos TM</w:t>
      </w:r>
      <w:r w:rsidRPr="0001468B">
        <w:rPr>
          <w:vertAlign w:val="subscript"/>
          <w:lang w:val="es-EC"/>
        </w:rPr>
        <w:t>01</w:t>
      </w:r>
      <w:r w:rsidRPr="0001468B">
        <w:rPr>
          <w:lang w:val="es-EC"/>
        </w:rPr>
        <w:t xml:space="preserve"> y TM</w:t>
      </w:r>
      <w:r w:rsidRPr="0001468B">
        <w:rPr>
          <w:vertAlign w:val="subscript"/>
          <w:lang w:val="es-EC"/>
        </w:rPr>
        <w:t>10</w:t>
      </w:r>
      <w:r w:rsidRPr="0001468B">
        <w:rPr>
          <w:lang w:val="es-EC"/>
        </w:rPr>
        <w:t xml:space="preserve"> están presentes, pero fueron excitados de forma desbalanceada, ii) la RA es mayor </w:t>
      </w:r>
      <w:r w:rsidR="006C12B9">
        <w:rPr>
          <w:lang w:val="es-EC"/>
        </w:rPr>
        <w:t>que</w:t>
      </w:r>
      <w:r w:rsidRPr="0001468B">
        <w:rPr>
          <w:lang w:val="es-EC"/>
        </w:rPr>
        <w:t xml:space="preserve"> 3 dB en toda la banda y por tanto la antena no está circularmente polarizada. iii) </w:t>
      </w:r>
      <w:r w:rsidR="006C12B9">
        <w:rPr>
          <w:lang w:val="es-EC"/>
        </w:rPr>
        <w:t>L</w:t>
      </w:r>
      <w:r w:rsidRPr="0001468B">
        <w:rPr>
          <w:lang w:val="es-EC"/>
        </w:rPr>
        <w:t>a frecuencia de 1</w:t>
      </w:r>
      <w:r w:rsidR="00973CC4">
        <w:rPr>
          <w:lang w:val="es-EC"/>
        </w:rPr>
        <w:t>.</w:t>
      </w:r>
      <w:r w:rsidRPr="0001468B">
        <w:rPr>
          <w:lang w:val="es-EC"/>
        </w:rPr>
        <w:t xml:space="preserve">575 GHz no es ni la frecuencia de mejor RA, ni la de mejor </w:t>
      </w:r>
      <w:proofErr w:type="spellStart"/>
      <w:r w:rsidRPr="0001468B">
        <w:rPr>
          <w:lang w:val="es-EC"/>
        </w:rPr>
        <w:t>Zin</w:t>
      </w:r>
      <w:proofErr w:type="spellEnd"/>
      <w:r w:rsidRPr="0001468B">
        <w:rPr>
          <w:lang w:val="es-EC"/>
        </w:rPr>
        <w:t xml:space="preserve"> y que, principalmente, la antena está trabajando fuera de la frecuencia de operación necesaria para GPS.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15"/>
      </w:tblGrid>
      <w:tr w:rsidR="0001468B" w:rsidRPr="00124DFA" w14:paraId="49E0A883" w14:textId="77777777" w:rsidTr="00275F4D">
        <w:trPr>
          <w:trHeight w:val="132"/>
        </w:trPr>
        <w:tc>
          <w:tcPr>
            <w:tcW w:w="2515" w:type="dxa"/>
          </w:tcPr>
          <w:p w14:paraId="165C7E1B" w14:textId="77777777" w:rsidR="0001468B" w:rsidRPr="00124DFA" w:rsidRDefault="0001468B" w:rsidP="00275F4D">
            <w:pPr>
              <w:pStyle w:val="Text"/>
              <w:ind w:firstLine="0"/>
              <w:jc w:val="center"/>
              <w:rPr>
                <w:color w:val="000000" w:themeColor="text1"/>
                <w:lang w:val="es-EC"/>
              </w:rPr>
            </w:pPr>
            <w:r w:rsidRPr="00124DFA">
              <w:rPr>
                <w:color w:val="000000" w:themeColor="text1"/>
              </w:rPr>
              <w:object w:dxaOrig="6870" w:dyaOrig="6390" w14:anchorId="28D534EF">
                <v:shape id="_x0000_i1039" type="#_x0000_t75" style="width:114.4pt;height:106.2pt" o:ole="">
                  <v:imagedata r:id="rId37" o:title=""/>
                </v:shape>
                <o:OLEObject Type="Embed" ProgID="PBrush" ShapeID="_x0000_i1039" DrawAspect="Content" ObjectID="_1817357241" r:id="rId38"/>
              </w:object>
            </w:r>
          </w:p>
        </w:tc>
        <w:tc>
          <w:tcPr>
            <w:tcW w:w="2515" w:type="dxa"/>
          </w:tcPr>
          <w:p w14:paraId="755E9E02" w14:textId="77777777" w:rsidR="0001468B" w:rsidRPr="00124DFA" w:rsidRDefault="0001468B" w:rsidP="00275F4D">
            <w:pPr>
              <w:pStyle w:val="Text"/>
              <w:ind w:firstLine="0"/>
              <w:jc w:val="center"/>
              <w:rPr>
                <w:color w:val="000000" w:themeColor="text1"/>
                <w:lang w:val="es-EC"/>
              </w:rPr>
            </w:pPr>
            <w:r w:rsidRPr="00124DFA">
              <w:rPr>
                <w:noProof/>
                <w:color w:val="000000" w:themeColor="text1"/>
                <w:lang w:val="es-EC" w:eastAsia="es-EC"/>
              </w:rPr>
              <w:drawing>
                <wp:inline distT="0" distB="0" distL="0" distR="0" wp14:anchorId="3F40C834" wp14:editId="334D56C6">
                  <wp:extent cx="1459865" cy="1332230"/>
                  <wp:effectExtent l="0" t="0" r="6985" b="1270"/>
                  <wp:docPr id="17049186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18653" name=""/>
                          <pic:cNvPicPr/>
                        </pic:nvPicPr>
                        <pic:blipFill>
                          <a:blip r:embed="rId39"/>
                          <a:stretch>
                            <a:fillRect/>
                          </a:stretch>
                        </pic:blipFill>
                        <pic:spPr>
                          <a:xfrm>
                            <a:off x="0" y="0"/>
                            <a:ext cx="1459865" cy="1332230"/>
                          </a:xfrm>
                          <a:prstGeom prst="rect">
                            <a:avLst/>
                          </a:prstGeom>
                        </pic:spPr>
                      </pic:pic>
                    </a:graphicData>
                  </a:graphic>
                </wp:inline>
              </w:drawing>
            </w:r>
          </w:p>
        </w:tc>
      </w:tr>
      <w:tr w:rsidR="0001468B" w:rsidRPr="00124DFA" w14:paraId="2B151E11" w14:textId="77777777" w:rsidTr="00275F4D">
        <w:trPr>
          <w:trHeight w:val="131"/>
        </w:trPr>
        <w:tc>
          <w:tcPr>
            <w:tcW w:w="2515" w:type="dxa"/>
          </w:tcPr>
          <w:p w14:paraId="4AAD981C"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(a)</w:t>
            </w:r>
          </w:p>
        </w:tc>
        <w:tc>
          <w:tcPr>
            <w:tcW w:w="2515" w:type="dxa"/>
          </w:tcPr>
          <w:p w14:paraId="00B140F1"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(b)</w:t>
            </w:r>
          </w:p>
        </w:tc>
      </w:tr>
    </w:tbl>
    <w:p w14:paraId="29EBA601" w14:textId="7E1987F0" w:rsidR="0001468B" w:rsidRPr="0001468B" w:rsidRDefault="0001468B" w:rsidP="0001468B">
      <w:pPr>
        <w:pStyle w:val="figurecaption"/>
        <w:rPr>
          <w:lang w:val="es-EC"/>
        </w:rPr>
      </w:pPr>
      <w:r w:rsidRPr="0001468B">
        <w:rPr>
          <w:lang w:val="es-EC"/>
        </w:rPr>
        <w:t xml:space="preserve">Resultados de la primera simulación en HFSS para: a) impedancia en el puerto Zin, b) razón axial en la dirección </w:t>
      </w:r>
      <w:r w:rsidRPr="0001468B">
        <w:rPr>
          <w:rFonts w:ascii="Symbol" w:hAnsi="Symbol"/>
          <w:lang w:val="es-EC"/>
        </w:rPr>
        <w:t></w:t>
      </w:r>
      <w:r w:rsidRPr="0001468B">
        <w:rPr>
          <w:lang w:val="es-EC"/>
        </w:rPr>
        <w:t xml:space="preserve"> = 0º y </w:t>
      </w:r>
      <w:r w:rsidRPr="0001468B">
        <w:rPr>
          <w:rFonts w:ascii="Symbol" w:hAnsi="Symbol"/>
          <w:lang w:val="es-EC"/>
        </w:rPr>
        <w:t></w:t>
      </w:r>
      <w:r w:rsidRPr="0001468B">
        <w:rPr>
          <w:rFonts w:ascii="Symbol" w:hAnsi="Symbol"/>
          <w:lang w:val="es-EC"/>
        </w:rPr>
        <w:t></w:t>
      </w:r>
      <w:r w:rsidRPr="0001468B">
        <w:rPr>
          <w:lang w:val="es-EC"/>
        </w:rPr>
        <w:t xml:space="preserve"> = 0</w:t>
      </w:r>
      <w:r>
        <w:rPr>
          <w:lang w:val="es-EC"/>
        </w:rPr>
        <w:t>°</w:t>
      </w:r>
      <w:r w:rsidRPr="0001468B">
        <w:rPr>
          <w:lang w:val="es-EC"/>
        </w:rPr>
        <w:t>.</w:t>
      </w:r>
    </w:p>
    <w:p w14:paraId="7246452D" w14:textId="78A55F1C" w:rsidR="00D010B7" w:rsidRPr="00E63FDF" w:rsidRDefault="0001468B" w:rsidP="0001468B">
      <w:pPr>
        <w:pStyle w:val="Text"/>
        <w:spacing w:after="120"/>
        <w:ind w:firstLine="204"/>
        <w:rPr>
          <w:lang w:val="es-EC"/>
        </w:rPr>
      </w:pPr>
      <w:r w:rsidRPr="0001468B">
        <w:rPr>
          <w:b/>
          <w:lang w:val="es-EC"/>
        </w:rPr>
        <w:t xml:space="preserve">Paso dos: </w:t>
      </w:r>
      <w:r w:rsidRPr="0001468B">
        <w:rPr>
          <w:lang w:val="es-EC"/>
        </w:rPr>
        <w:t>Para poder corregir los problemas mencionados</w:t>
      </w:r>
      <w:r w:rsidR="006C12B9">
        <w:rPr>
          <w:lang w:val="es-EC"/>
        </w:rPr>
        <w:t>,</w:t>
      </w:r>
      <w:r w:rsidRPr="0001468B">
        <w:rPr>
          <w:lang w:val="es-EC"/>
        </w:rPr>
        <w:t xml:space="preserve"> se debe modificar la geometría del </w:t>
      </w:r>
      <w:proofErr w:type="spellStart"/>
      <w:r w:rsidRPr="0001468B">
        <w:rPr>
          <w:lang w:val="es-EC"/>
        </w:rPr>
        <w:t>patch</w:t>
      </w:r>
      <w:proofErr w:type="spellEnd"/>
      <w:r w:rsidRPr="0001468B">
        <w:rPr>
          <w:lang w:val="es-EC"/>
        </w:rPr>
        <w:t xml:space="preserve"> (las dimensiones a y b) y así propiciar que los modos superior e inferior se posicione</w:t>
      </w:r>
      <w:r w:rsidR="006C12B9">
        <w:rPr>
          <w:lang w:val="es-EC"/>
        </w:rPr>
        <w:t>n</w:t>
      </w:r>
      <w:r w:rsidRPr="0001468B">
        <w:rPr>
          <w:lang w:val="es-EC"/>
        </w:rPr>
        <w:t xml:space="preserve"> alrededor de la frecuencia central de 1</w:t>
      </w:r>
      <w:r w:rsidR="00973CC4">
        <w:rPr>
          <w:lang w:val="es-EC"/>
        </w:rPr>
        <w:t>.</w:t>
      </w:r>
      <w:r w:rsidRPr="0001468B">
        <w:rPr>
          <w:lang w:val="es-EC"/>
        </w:rPr>
        <w:t>575 GHz. Adicionalmente, los modos serán excitados de forma desbalanceada para corregir la característica capacitiva de la impedancia de entrada producida por la espesura del substrato. Después de pocas iteraciones más</w:t>
      </w:r>
      <w:r w:rsidR="006C12B9">
        <w:rPr>
          <w:lang w:val="es-EC"/>
        </w:rPr>
        <w:t>,</w:t>
      </w:r>
      <w:r w:rsidRPr="0001468B">
        <w:rPr>
          <w:lang w:val="es-EC"/>
        </w:rPr>
        <w:t xml:space="preserve"> se llegó a definir los nuevos valores de </w:t>
      </w:r>
      <w:r w:rsidRPr="0001468B">
        <w:rPr>
          <w:i/>
          <w:lang w:val="es-EC"/>
        </w:rPr>
        <w:t>a</w:t>
      </w:r>
      <w:r w:rsidRPr="0001468B">
        <w:rPr>
          <w:lang w:val="es-EC"/>
        </w:rPr>
        <w:t xml:space="preserve"> = 27</w:t>
      </w:r>
      <w:r w:rsidR="00973CC4">
        <w:rPr>
          <w:lang w:val="es-EC"/>
        </w:rPr>
        <w:t>.</w:t>
      </w:r>
      <w:r w:rsidRPr="0001468B">
        <w:rPr>
          <w:lang w:val="es-EC"/>
        </w:rPr>
        <w:t>51</w:t>
      </w:r>
      <w:r w:rsidR="006C12B9">
        <w:rPr>
          <w:lang w:val="es-EC"/>
        </w:rPr>
        <w:t xml:space="preserve"> </w:t>
      </w:r>
      <w:r w:rsidRPr="0001468B">
        <w:rPr>
          <w:lang w:val="es-EC"/>
        </w:rPr>
        <w:t xml:space="preserve">mm y </w:t>
      </w:r>
      <w:r w:rsidRPr="0001468B">
        <w:rPr>
          <w:i/>
          <w:lang w:val="es-EC"/>
        </w:rPr>
        <w:t>b</w:t>
      </w:r>
      <w:r w:rsidRPr="0001468B">
        <w:rPr>
          <w:lang w:val="es-EC"/>
        </w:rPr>
        <w:t xml:space="preserve"> = 28</w:t>
      </w:r>
      <w:r w:rsidR="00973CC4">
        <w:rPr>
          <w:lang w:val="es-EC"/>
        </w:rPr>
        <w:t>.</w:t>
      </w:r>
      <w:r w:rsidRPr="0001468B">
        <w:rPr>
          <w:lang w:val="es-EC"/>
        </w:rPr>
        <w:t>49 mm que optimizan la RA. Los resultados obtenidos se presentan en la Fig. 5.</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15"/>
      </w:tblGrid>
      <w:tr w:rsidR="0001468B" w:rsidRPr="00124DFA" w14:paraId="59C2F403" w14:textId="77777777" w:rsidTr="00275F4D">
        <w:trPr>
          <w:trHeight w:val="132"/>
        </w:trPr>
        <w:tc>
          <w:tcPr>
            <w:tcW w:w="2515" w:type="dxa"/>
          </w:tcPr>
          <w:p w14:paraId="6E09877F" w14:textId="77777777" w:rsidR="0001468B" w:rsidRPr="00124DFA" w:rsidRDefault="0001468B" w:rsidP="00275F4D">
            <w:pPr>
              <w:pStyle w:val="Text"/>
              <w:spacing w:before="80"/>
              <w:ind w:firstLine="0"/>
              <w:jc w:val="center"/>
              <w:rPr>
                <w:color w:val="000000" w:themeColor="text1"/>
                <w:lang w:val="es-EC"/>
              </w:rPr>
            </w:pPr>
            <w:r w:rsidRPr="00124DFA">
              <w:rPr>
                <w:noProof/>
                <w:color w:val="000000" w:themeColor="text1"/>
                <w:lang w:val="es-EC" w:eastAsia="es-EC"/>
              </w:rPr>
              <w:drawing>
                <wp:inline distT="0" distB="0" distL="0" distR="0" wp14:anchorId="22320C48" wp14:editId="750DEAB6">
                  <wp:extent cx="1459865" cy="1284605"/>
                  <wp:effectExtent l="0" t="0" r="6985" b="0"/>
                  <wp:docPr id="4428998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89983" name=""/>
                          <pic:cNvPicPr/>
                        </pic:nvPicPr>
                        <pic:blipFill>
                          <a:blip r:embed="rId40"/>
                          <a:stretch>
                            <a:fillRect/>
                          </a:stretch>
                        </pic:blipFill>
                        <pic:spPr>
                          <a:xfrm>
                            <a:off x="0" y="0"/>
                            <a:ext cx="1459865" cy="1284605"/>
                          </a:xfrm>
                          <a:prstGeom prst="rect">
                            <a:avLst/>
                          </a:prstGeom>
                        </pic:spPr>
                      </pic:pic>
                    </a:graphicData>
                  </a:graphic>
                </wp:inline>
              </w:drawing>
            </w:r>
          </w:p>
        </w:tc>
        <w:tc>
          <w:tcPr>
            <w:tcW w:w="2515" w:type="dxa"/>
          </w:tcPr>
          <w:p w14:paraId="7E9FF690" w14:textId="77777777" w:rsidR="0001468B" w:rsidRPr="00124DFA" w:rsidRDefault="0001468B" w:rsidP="00275F4D">
            <w:pPr>
              <w:pStyle w:val="Text"/>
              <w:spacing w:before="80"/>
              <w:ind w:firstLine="0"/>
              <w:jc w:val="center"/>
              <w:rPr>
                <w:color w:val="000000" w:themeColor="text1"/>
                <w:lang w:val="es-EC"/>
              </w:rPr>
            </w:pPr>
            <w:r w:rsidRPr="00124DFA">
              <w:rPr>
                <w:noProof/>
                <w:color w:val="000000" w:themeColor="text1"/>
                <w:lang w:val="es-EC" w:eastAsia="es-EC"/>
              </w:rPr>
              <w:drawing>
                <wp:inline distT="0" distB="0" distL="0" distR="0" wp14:anchorId="31F2500A" wp14:editId="37F55624">
                  <wp:extent cx="1459865" cy="1283335"/>
                  <wp:effectExtent l="0" t="0" r="6985" b="0"/>
                  <wp:docPr id="17651109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10912" name=""/>
                          <pic:cNvPicPr/>
                        </pic:nvPicPr>
                        <pic:blipFill>
                          <a:blip r:embed="rId41"/>
                          <a:stretch>
                            <a:fillRect/>
                          </a:stretch>
                        </pic:blipFill>
                        <pic:spPr>
                          <a:xfrm>
                            <a:off x="0" y="0"/>
                            <a:ext cx="1459865" cy="1283335"/>
                          </a:xfrm>
                          <a:prstGeom prst="rect">
                            <a:avLst/>
                          </a:prstGeom>
                        </pic:spPr>
                      </pic:pic>
                    </a:graphicData>
                  </a:graphic>
                </wp:inline>
              </w:drawing>
            </w:r>
          </w:p>
        </w:tc>
      </w:tr>
      <w:tr w:rsidR="0001468B" w:rsidRPr="00124DFA" w14:paraId="277BC620" w14:textId="77777777" w:rsidTr="00275F4D">
        <w:trPr>
          <w:trHeight w:val="131"/>
        </w:trPr>
        <w:tc>
          <w:tcPr>
            <w:tcW w:w="2515" w:type="dxa"/>
          </w:tcPr>
          <w:p w14:paraId="2718011D"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lastRenderedPageBreak/>
              <w:t>(a)</w:t>
            </w:r>
          </w:p>
        </w:tc>
        <w:tc>
          <w:tcPr>
            <w:tcW w:w="2515" w:type="dxa"/>
          </w:tcPr>
          <w:p w14:paraId="5EEF9032"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(b)</w:t>
            </w:r>
          </w:p>
        </w:tc>
      </w:tr>
      <w:tr w:rsidR="0001468B" w:rsidRPr="00124DFA" w14:paraId="69813D21" w14:textId="77777777" w:rsidTr="00275F4D">
        <w:trPr>
          <w:trHeight w:val="131"/>
        </w:trPr>
        <w:tc>
          <w:tcPr>
            <w:tcW w:w="2515" w:type="dxa"/>
          </w:tcPr>
          <w:p w14:paraId="526C8C0C" w14:textId="77777777" w:rsidR="0001468B" w:rsidRPr="00124DFA" w:rsidRDefault="0001468B" w:rsidP="00275F4D">
            <w:pPr>
              <w:pStyle w:val="Text"/>
              <w:spacing w:after="80"/>
              <w:ind w:firstLine="0"/>
              <w:jc w:val="center"/>
              <w:rPr>
                <w:color w:val="000000" w:themeColor="text1"/>
                <w:sz w:val="16"/>
                <w:szCs w:val="16"/>
                <w:lang w:val="es-EC"/>
              </w:rPr>
            </w:pPr>
            <w:r w:rsidRPr="00124DFA">
              <w:rPr>
                <w:noProof/>
                <w:color w:val="000000" w:themeColor="text1"/>
                <w:lang w:val="es-EC" w:eastAsia="es-EC"/>
              </w:rPr>
              <w:drawing>
                <wp:inline distT="0" distB="0" distL="0" distR="0" wp14:anchorId="59F679FE" wp14:editId="5FB2FA16">
                  <wp:extent cx="1429476" cy="1294411"/>
                  <wp:effectExtent l="0" t="0" r="0" b="1270"/>
                  <wp:docPr id="9599387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938729" name=""/>
                          <pic:cNvPicPr/>
                        </pic:nvPicPr>
                        <pic:blipFill rotWithShape="1">
                          <a:blip r:embed="rId42"/>
                          <a:srcRect l="5992" r="7952" b="11662"/>
                          <a:stretch/>
                        </pic:blipFill>
                        <pic:spPr bwMode="auto">
                          <a:xfrm>
                            <a:off x="0" y="0"/>
                            <a:ext cx="1444757" cy="1308248"/>
                          </a:xfrm>
                          <a:prstGeom prst="rect">
                            <a:avLst/>
                          </a:prstGeom>
                          <a:ln>
                            <a:noFill/>
                          </a:ln>
                          <a:extLst>
                            <a:ext uri="{53640926-AAD7-44D8-BBD7-CCE9431645EC}">
                              <a14:shadowObscured xmlns:a14="http://schemas.microsoft.com/office/drawing/2010/main"/>
                            </a:ext>
                          </a:extLst>
                        </pic:spPr>
                      </pic:pic>
                    </a:graphicData>
                  </a:graphic>
                </wp:inline>
              </w:drawing>
            </w:r>
          </w:p>
        </w:tc>
        <w:tc>
          <w:tcPr>
            <w:tcW w:w="2515" w:type="dxa"/>
          </w:tcPr>
          <w:p w14:paraId="29457AB5" w14:textId="77777777" w:rsidR="0001468B" w:rsidRPr="00124DFA" w:rsidRDefault="0001468B" w:rsidP="00275F4D">
            <w:pPr>
              <w:pStyle w:val="Text"/>
              <w:spacing w:after="80"/>
              <w:ind w:firstLine="0"/>
              <w:jc w:val="center"/>
              <w:rPr>
                <w:color w:val="000000" w:themeColor="text1"/>
                <w:sz w:val="16"/>
                <w:szCs w:val="16"/>
                <w:lang w:val="es-EC"/>
              </w:rPr>
            </w:pPr>
            <w:r w:rsidRPr="00124DFA">
              <w:rPr>
                <w:noProof/>
                <w:color w:val="000000" w:themeColor="text1"/>
                <w:lang w:val="es-EC" w:eastAsia="es-EC"/>
              </w:rPr>
              <w:drawing>
                <wp:inline distT="0" distB="0" distL="0" distR="0" wp14:anchorId="7030FEA6" wp14:editId="22A60C49">
                  <wp:extent cx="1459865" cy="1284605"/>
                  <wp:effectExtent l="0" t="0" r="6985" b="0"/>
                  <wp:docPr id="8821075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07573" name=""/>
                          <pic:cNvPicPr/>
                        </pic:nvPicPr>
                        <pic:blipFill>
                          <a:blip r:embed="rId43"/>
                          <a:stretch>
                            <a:fillRect/>
                          </a:stretch>
                        </pic:blipFill>
                        <pic:spPr>
                          <a:xfrm>
                            <a:off x="0" y="0"/>
                            <a:ext cx="1459865" cy="1284605"/>
                          </a:xfrm>
                          <a:prstGeom prst="rect">
                            <a:avLst/>
                          </a:prstGeom>
                        </pic:spPr>
                      </pic:pic>
                    </a:graphicData>
                  </a:graphic>
                </wp:inline>
              </w:drawing>
            </w:r>
          </w:p>
        </w:tc>
      </w:tr>
      <w:tr w:rsidR="0001468B" w:rsidRPr="00124DFA" w14:paraId="5A81FE6F" w14:textId="77777777" w:rsidTr="00275F4D">
        <w:trPr>
          <w:trHeight w:val="131"/>
        </w:trPr>
        <w:tc>
          <w:tcPr>
            <w:tcW w:w="2515" w:type="dxa"/>
          </w:tcPr>
          <w:p w14:paraId="1E1310DA"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(c)</w:t>
            </w:r>
          </w:p>
        </w:tc>
        <w:tc>
          <w:tcPr>
            <w:tcW w:w="2515" w:type="dxa"/>
          </w:tcPr>
          <w:p w14:paraId="5C7A4A51" w14:textId="77777777" w:rsidR="0001468B" w:rsidRPr="00124DFA" w:rsidRDefault="0001468B"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(d)</w:t>
            </w:r>
          </w:p>
        </w:tc>
      </w:tr>
    </w:tbl>
    <w:p w14:paraId="4B9DC738" w14:textId="4A7443F4" w:rsidR="0001468B" w:rsidRPr="0001468B" w:rsidRDefault="0001468B" w:rsidP="0001468B">
      <w:pPr>
        <w:pStyle w:val="figurecaption"/>
        <w:rPr>
          <w:lang w:val="es-EC"/>
        </w:rPr>
      </w:pPr>
      <w:r w:rsidRPr="0001468B">
        <w:rPr>
          <w:lang w:val="es-EC"/>
        </w:rPr>
        <w:t xml:space="preserve">Resultados de la simulación con </w:t>
      </w:r>
      <w:r w:rsidRPr="0001468B">
        <w:rPr>
          <w:i/>
          <w:lang w:val="es-EC"/>
        </w:rPr>
        <w:t>a</w:t>
      </w:r>
      <w:r w:rsidRPr="0001468B">
        <w:rPr>
          <w:lang w:val="es-EC"/>
        </w:rPr>
        <w:t xml:space="preserve"> = 27</w:t>
      </w:r>
      <w:r w:rsidR="00973CC4">
        <w:rPr>
          <w:lang w:val="es-EC"/>
        </w:rPr>
        <w:t>.</w:t>
      </w:r>
      <w:r w:rsidRPr="0001468B">
        <w:rPr>
          <w:lang w:val="es-EC"/>
        </w:rPr>
        <w:t>51</w:t>
      </w:r>
      <w:r w:rsidR="006C12B9">
        <w:rPr>
          <w:lang w:val="es-EC"/>
        </w:rPr>
        <w:t xml:space="preserve"> </w:t>
      </w:r>
      <w:r w:rsidRPr="0001468B">
        <w:rPr>
          <w:lang w:val="es-EC"/>
        </w:rPr>
        <w:t xml:space="preserve">mm y </w:t>
      </w:r>
      <w:r w:rsidRPr="0001468B">
        <w:rPr>
          <w:i/>
          <w:lang w:val="es-EC"/>
        </w:rPr>
        <w:t>b</w:t>
      </w:r>
      <w:r w:rsidRPr="0001468B">
        <w:rPr>
          <w:lang w:val="es-EC"/>
        </w:rPr>
        <w:t xml:space="preserve"> = 28</w:t>
      </w:r>
      <w:r w:rsidR="00973CC4">
        <w:rPr>
          <w:lang w:val="es-EC"/>
        </w:rPr>
        <w:t>.</w:t>
      </w:r>
      <w:r w:rsidRPr="0001468B">
        <w:rPr>
          <w:lang w:val="es-EC"/>
        </w:rPr>
        <w:t xml:space="preserve">49 mm. En a) la impedancia en el puerto – Zin, en b) la razón axial en la dirección broadside, en c) el comportamiento del parámetro S11 en la carta de Smith y en d) la representación 3D de la función directividad – </w:t>
      </w:r>
      <w:r w:rsidRPr="00C00797">
        <w:rPr>
          <w:i/>
          <w:lang w:val="es-EC"/>
        </w:rPr>
        <w:t>D</w:t>
      </w:r>
      <w:r w:rsidRPr="0001468B">
        <w:rPr>
          <w:lang w:val="es-EC"/>
        </w:rPr>
        <w:t>(</w:t>
      </w:r>
      <w:r w:rsidRPr="0001468B">
        <w:rPr>
          <w:rFonts w:ascii="Symbol" w:hAnsi="Symbol"/>
          <w:lang w:val="es-EC"/>
        </w:rPr>
        <w:t></w:t>
      </w:r>
      <w:r w:rsidRPr="0001468B">
        <w:rPr>
          <w:lang w:val="es-EC"/>
        </w:rPr>
        <w:t xml:space="preserve">, </w:t>
      </w:r>
      <w:r w:rsidRPr="0001468B">
        <w:rPr>
          <w:rFonts w:ascii="Symbol" w:hAnsi="Symbol"/>
          <w:lang w:val="es-EC"/>
        </w:rPr>
        <w:t></w:t>
      </w:r>
      <w:r w:rsidRPr="0001468B">
        <w:rPr>
          <w:lang w:val="es-EC"/>
        </w:rPr>
        <w:t>).</w:t>
      </w:r>
    </w:p>
    <w:p w14:paraId="0CD8D313" w14:textId="59AA223F" w:rsidR="00D010B7" w:rsidRPr="00E63FDF" w:rsidRDefault="0001468B" w:rsidP="00A23F11">
      <w:pPr>
        <w:pStyle w:val="Text"/>
        <w:rPr>
          <w:lang w:val="es-EC"/>
        </w:rPr>
      </w:pPr>
      <w:r w:rsidRPr="0001468B">
        <w:rPr>
          <w:lang w:val="es-EC"/>
        </w:rPr>
        <w:t>Claramente se observa que los modos superior e inferior, Fig. 5a, están fuertemente desbalanceados. Esto permitió ajustar la RA a 0</w:t>
      </w:r>
      <w:r w:rsidR="00973CC4">
        <w:rPr>
          <w:lang w:val="es-EC"/>
        </w:rPr>
        <w:t>.</w:t>
      </w:r>
      <w:r w:rsidRPr="0001468B">
        <w:rPr>
          <w:lang w:val="es-EC"/>
        </w:rPr>
        <w:t>82 dB en la frecuencia de 1</w:t>
      </w:r>
      <w:r w:rsidR="00973CC4">
        <w:rPr>
          <w:lang w:val="es-EC"/>
        </w:rPr>
        <w:t>.</w:t>
      </w:r>
      <w:r w:rsidRPr="0001468B">
        <w:rPr>
          <w:lang w:val="es-EC"/>
        </w:rPr>
        <w:t xml:space="preserve">575 GHz, </w:t>
      </w:r>
      <w:r w:rsidR="006C12B9">
        <w:rPr>
          <w:lang w:val="es-EC"/>
        </w:rPr>
        <w:t>más</w:t>
      </w:r>
      <w:r w:rsidRPr="0001468B">
        <w:rPr>
          <w:lang w:val="es-EC"/>
        </w:rPr>
        <w:t xml:space="preserve">, incrementa el descasamiento de la </w:t>
      </w:r>
      <w:proofErr w:type="spellStart"/>
      <w:r w:rsidRPr="0001468B">
        <w:rPr>
          <w:lang w:val="es-EC"/>
        </w:rPr>
        <w:t>Zin</w:t>
      </w:r>
      <w:proofErr w:type="spellEnd"/>
      <w:r w:rsidRPr="0001468B">
        <w:rPr>
          <w:lang w:val="es-EC"/>
        </w:rPr>
        <w:t xml:space="preserve">. En la frecuencia de proyecto la </w:t>
      </w:r>
      <w:proofErr w:type="spellStart"/>
      <w:r w:rsidRPr="0001468B">
        <w:rPr>
          <w:lang w:val="es-EC"/>
        </w:rPr>
        <w:t>Zin</w:t>
      </w:r>
      <w:proofErr w:type="spellEnd"/>
      <w:r w:rsidRPr="0001468B">
        <w:rPr>
          <w:lang w:val="es-EC"/>
        </w:rPr>
        <w:t xml:space="preserve"> presenta un comportamiento capacitivo, </w:t>
      </w:r>
      <w:proofErr w:type="spellStart"/>
      <w:r w:rsidRPr="0001468B">
        <w:rPr>
          <w:lang w:val="es-EC"/>
        </w:rPr>
        <w:t>Zin</w:t>
      </w:r>
      <w:proofErr w:type="spellEnd"/>
      <w:r>
        <w:rPr>
          <w:lang w:val="es-EC"/>
        </w:rPr>
        <w:t> </w:t>
      </w:r>
      <w:r w:rsidRPr="0001468B">
        <w:rPr>
          <w:rFonts w:ascii="Symbol" w:hAnsi="Symbol"/>
          <w:lang w:val="es-EC"/>
        </w:rPr>
        <w:t></w:t>
      </w:r>
      <w:r>
        <w:rPr>
          <w:lang w:val="es-EC"/>
        </w:rPr>
        <w:t> </w:t>
      </w:r>
      <w:r w:rsidRPr="0001468B">
        <w:rPr>
          <w:lang w:val="es-EC"/>
        </w:rPr>
        <w:t xml:space="preserve">255-j83 </w:t>
      </w:r>
      <w:r w:rsidRPr="0001468B">
        <w:rPr>
          <w:rFonts w:ascii="Symbol" w:hAnsi="Symbol"/>
          <w:lang w:val="es-EC"/>
        </w:rPr>
        <w:t></w:t>
      </w:r>
      <w:r w:rsidRPr="0001468B">
        <w:rPr>
          <w:lang w:val="es-EC"/>
        </w:rPr>
        <w:t xml:space="preserve">, que se puede </w:t>
      </w:r>
      <w:r w:rsidR="006C12B9">
        <w:rPr>
          <w:lang w:val="es-EC"/>
        </w:rPr>
        <w:t>apreciar</w:t>
      </w:r>
      <w:r w:rsidRPr="0001468B">
        <w:rPr>
          <w:lang w:val="es-EC"/>
        </w:rPr>
        <w:t xml:space="preserve"> en las Fig. 5a y Fig. 5b. El valor del parámetro S11 graficado en la carta de Smith (Fig. 5c) es de 5</w:t>
      </w:r>
      <w:r>
        <w:rPr>
          <w:lang w:val="es-EC"/>
        </w:rPr>
        <w:t>.</w:t>
      </w:r>
      <w:r w:rsidRPr="0001468B">
        <w:rPr>
          <w:lang w:val="es-EC"/>
        </w:rPr>
        <w:t>12-j1</w:t>
      </w:r>
      <w:r>
        <w:rPr>
          <w:lang w:val="es-EC"/>
        </w:rPr>
        <w:t>.</w:t>
      </w:r>
      <w:r w:rsidRPr="0001468B">
        <w:rPr>
          <w:lang w:val="es-EC"/>
        </w:rPr>
        <w:t xml:space="preserve">65. Este valor dificultará el acoplamiento de la impedancia de entrada. Ahora, el valor obtenido para la directividad, directamente sobre la dirección </w:t>
      </w:r>
      <w:proofErr w:type="spellStart"/>
      <w:r w:rsidRPr="0001468B">
        <w:rPr>
          <w:lang w:val="es-EC"/>
        </w:rPr>
        <w:t>broadside</w:t>
      </w:r>
      <w:proofErr w:type="spellEnd"/>
      <w:r w:rsidRPr="0001468B">
        <w:rPr>
          <w:lang w:val="es-EC"/>
        </w:rPr>
        <w:t xml:space="preserve"> </w:t>
      </w:r>
      <w:proofErr w:type="gramStart"/>
      <w:r w:rsidRPr="006C12B9">
        <w:rPr>
          <w:i/>
          <w:lang w:val="es-EC"/>
        </w:rPr>
        <w:t>D</w:t>
      </w:r>
      <w:r w:rsidRPr="0001468B">
        <w:rPr>
          <w:lang w:val="es-EC"/>
        </w:rPr>
        <w:t>(</w:t>
      </w:r>
      <w:proofErr w:type="gramEnd"/>
      <w:r w:rsidRPr="0001468B">
        <w:rPr>
          <w:lang w:val="es-EC"/>
        </w:rPr>
        <w:t>0,0), fue igual a 5</w:t>
      </w:r>
      <w:r>
        <w:rPr>
          <w:lang w:val="es-EC"/>
        </w:rPr>
        <w:t>.</w:t>
      </w:r>
      <w:r w:rsidRPr="0001468B">
        <w:rPr>
          <w:lang w:val="es-EC"/>
        </w:rPr>
        <w:t>14 dB (Fig. 5d). Este resultado y el comportamiento del diagrama 3D concuerdan con los datos que diversos autores han presentado en la literatura técnica disponible.</w:t>
      </w:r>
    </w:p>
    <w:p w14:paraId="75263FD0" w14:textId="17436841" w:rsidR="00D010B7" w:rsidRDefault="0001468B" w:rsidP="009B1BA8">
      <w:pPr>
        <w:pStyle w:val="Text"/>
        <w:spacing w:after="120"/>
        <w:ind w:firstLine="204"/>
        <w:rPr>
          <w:lang w:val="es-EC"/>
        </w:rPr>
      </w:pPr>
      <w:r w:rsidRPr="0001468B">
        <w:rPr>
          <w:b/>
          <w:lang w:val="es-EC"/>
        </w:rPr>
        <w:t>Paso tres:</w:t>
      </w:r>
      <w:r w:rsidRPr="0001468B">
        <w:rPr>
          <w:lang w:val="es-EC"/>
        </w:rPr>
        <w:t xml:space="preserve"> Con el objetivo de facilitar el casamiento de </w:t>
      </w:r>
      <w:proofErr w:type="spellStart"/>
      <w:r w:rsidRPr="0001468B">
        <w:rPr>
          <w:lang w:val="es-EC"/>
        </w:rPr>
        <w:t>Zin</w:t>
      </w:r>
      <w:proofErr w:type="spellEnd"/>
      <w:r w:rsidR="006C12B9">
        <w:rPr>
          <w:lang w:val="es-EC"/>
        </w:rPr>
        <w:t>,</w:t>
      </w:r>
      <w:r w:rsidRPr="0001468B">
        <w:rPr>
          <w:lang w:val="es-EC"/>
        </w:rPr>
        <w:t xml:space="preserve"> se adicionó una línea de transmisión (desfasaje) entre el irradiador y el puerto </w:t>
      </w:r>
      <w:proofErr w:type="spellStart"/>
      <w:r w:rsidRPr="0001468B">
        <w:rPr>
          <w:lang w:val="es-EC"/>
        </w:rPr>
        <w:t>lumped</w:t>
      </w:r>
      <w:proofErr w:type="spellEnd"/>
      <w:r w:rsidRPr="0001468B">
        <w:rPr>
          <w:lang w:val="es-EC"/>
        </w:rPr>
        <w:t xml:space="preserve"> </w:t>
      </w:r>
      <w:proofErr w:type="spellStart"/>
      <w:r w:rsidRPr="0001468B">
        <w:rPr>
          <w:lang w:val="es-EC"/>
        </w:rPr>
        <w:t>port</w:t>
      </w:r>
      <w:proofErr w:type="spellEnd"/>
      <w:r w:rsidRPr="0001468B">
        <w:rPr>
          <w:lang w:val="es-EC"/>
        </w:rPr>
        <w:t xml:space="preserve">. El objetivo de esta línea es mover, sobre un círculo de </w:t>
      </w:r>
      <w:r w:rsidRPr="0001468B">
        <w:rPr>
          <w:rFonts w:ascii="Symbol" w:hAnsi="Symbol"/>
          <w:lang w:val="es-EC"/>
        </w:rPr>
        <w:t></w:t>
      </w:r>
      <w:r w:rsidRPr="0001468B">
        <w:rPr>
          <w:lang w:val="es-EC"/>
        </w:rPr>
        <w:t xml:space="preserve"> constante, el punto de operación desde el valor de S</w:t>
      </w:r>
      <w:r w:rsidRPr="0001468B">
        <w:rPr>
          <w:vertAlign w:val="subscript"/>
          <w:lang w:val="es-EC"/>
        </w:rPr>
        <w:t>11</w:t>
      </w:r>
      <w:r>
        <w:rPr>
          <w:lang w:val="es-EC"/>
        </w:rPr>
        <w:t> </w:t>
      </w:r>
      <w:r w:rsidRPr="0001468B">
        <w:rPr>
          <w:lang w:val="es-EC"/>
        </w:rPr>
        <w:t>= 5</w:t>
      </w:r>
      <w:r w:rsidR="00973CC4">
        <w:rPr>
          <w:lang w:val="es-EC"/>
        </w:rPr>
        <w:t>.</w:t>
      </w:r>
      <w:r w:rsidRPr="0001468B">
        <w:rPr>
          <w:lang w:val="es-EC"/>
        </w:rPr>
        <w:t>12-j1</w:t>
      </w:r>
      <w:r w:rsidR="00C00797">
        <w:rPr>
          <w:lang w:val="es-EC"/>
        </w:rPr>
        <w:t>.</w:t>
      </w:r>
      <w:r w:rsidRPr="0001468B">
        <w:rPr>
          <w:lang w:val="es-EC"/>
        </w:rPr>
        <w:t xml:space="preserve">65 hasta aproximadamente la posición 1-jX. Las dimensiones finales para las líneas de transmisión </w:t>
      </w:r>
      <w:r w:rsidR="006C12B9">
        <w:rPr>
          <w:lang w:val="es-EC"/>
        </w:rPr>
        <w:t>adicionadas</w:t>
      </w:r>
      <w:r w:rsidRPr="0001468B">
        <w:rPr>
          <w:lang w:val="es-EC"/>
        </w:rPr>
        <w:t xml:space="preserve"> (ver Fig. 2) fueron: ancho </w:t>
      </w:r>
      <w:r w:rsidRPr="0001468B">
        <w:rPr>
          <w:i/>
          <w:lang w:val="es-EC"/>
        </w:rPr>
        <w:t>W</w:t>
      </w:r>
      <w:r w:rsidRPr="0001468B">
        <w:rPr>
          <w:vertAlign w:val="subscript"/>
          <w:lang w:val="es-EC"/>
        </w:rPr>
        <w:t>1</w:t>
      </w:r>
      <w:r w:rsidRPr="0001468B">
        <w:rPr>
          <w:lang w:val="es-EC"/>
        </w:rPr>
        <w:t xml:space="preserve"> = 3 mm, las longitudes </w:t>
      </w:r>
      <w:r w:rsidRPr="0001468B">
        <w:rPr>
          <w:i/>
          <w:lang w:val="es-EC"/>
        </w:rPr>
        <w:t>W</w:t>
      </w:r>
      <w:r w:rsidRPr="0001468B">
        <w:rPr>
          <w:vertAlign w:val="subscript"/>
          <w:lang w:val="es-EC"/>
        </w:rPr>
        <w:t>2</w:t>
      </w:r>
      <w:r w:rsidRPr="0001468B">
        <w:rPr>
          <w:lang w:val="es-EC"/>
        </w:rPr>
        <w:t xml:space="preserve"> y </w:t>
      </w:r>
      <w:r w:rsidRPr="0001468B">
        <w:rPr>
          <w:i/>
          <w:lang w:val="es-EC"/>
        </w:rPr>
        <w:t>W</w:t>
      </w:r>
      <w:r w:rsidRPr="0001468B">
        <w:rPr>
          <w:vertAlign w:val="subscript"/>
          <w:lang w:val="es-EC"/>
        </w:rPr>
        <w:t>3</w:t>
      </w:r>
      <w:r w:rsidRPr="0001468B">
        <w:rPr>
          <w:lang w:val="es-EC"/>
        </w:rPr>
        <w:t xml:space="preserve"> fueron 2</w:t>
      </w:r>
      <w:r>
        <w:rPr>
          <w:lang w:val="es-EC"/>
        </w:rPr>
        <w:t>.</w:t>
      </w:r>
      <w:r w:rsidRPr="0001468B">
        <w:rPr>
          <w:lang w:val="es-EC"/>
        </w:rPr>
        <w:t>5 mm y 1</w:t>
      </w:r>
      <w:r>
        <w:rPr>
          <w:lang w:val="es-EC"/>
        </w:rPr>
        <w:t>.</w:t>
      </w:r>
      <w:r w:rsidRPr="0001468B">
        <w:rPr>
          <w:lang w:val="es-EC"/>
        </w:rPr>
        <w:t>97 mm, respectivamente. Los resultados de esta simulación se observan en la Fig. 6</w:t>
      </w:r>
      <w:r>
        <w:rPr>
          <w:lang w:val="es-EC"/>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15"/>
      </w:tblGrid>
      <w:tr w:rsidR="009B1BA8" w:rsidRPr="00124DFA" w14:paraId="374DD35D" w14:textId="77777777" w:rsidTr="00275F4D">
        <w:trPr>
          <w:trHeight w:val="131"/>
        </w:trPr>
        <w:tc>
          <w:tcPr>
            <w:tcW w:w="2515" w:type="dxa"/>
          </w:tcPr>
          <w:p w14:paraId="380E2994" w14:textId="77777777" w:rsidR="009B1BA8" w:rsidRPr="00124DFA" w:rsidRDefault="009B1BA8" w:rsidP="00275F4D">
            <w:pPr>
              <w:pStyle w:val="Text"/>
              <w:spacing w:after="80"/>
              <w:ind w:firstLine="0"/>
              <w:jc w:val="center"/>
              <w:rPr>
                <w:color w:val="000000" w:themeColor="text1"/>
                <w:sz w:val="16"/>
                <w:szCs w:val="16"/>
                <w:lang w:val="es-EC"/>
              </w:rPr>
            </w:pPr>
            <w:r w:rsidRPr="00124DFA">
              <w:rPr>
                <w:noProof/>
                <w:color w:val="000000" w:themeColor="text1"/>
                <w:lang w:val="es-EC" w:eastAsia="es-EC"/>
              </w:rPr>
              <w:drawing>
                <wp:inline distT="0" distB="0" distL="0" distR="0" wp14:anchorId="2AC4F9E4" wp14:editId="61B35BB2">
                  <wp:extent cx="1436532" cy="1542553"/>
                  <wp:effectExtent l="0" t="0" r="0" b="635"/>
                  <wp:docPr id="2554666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398361" name=""/>
                          <pic:cNvPicPr/>
                        </pic:nvPicPr>
                        <pic:blipFill rotWithShape="1">
                          <a:blip r:embed="rId44"/>
                          <a:srcRect l="16887" r="18301"/>
                          <a:stretch/>
                        </pic:blipFill>
                        <pic:spPr bwMode="auto">
                          <a:xfrm>
                            <a:off x="0" y="0"/>
                            <a:ext cx="1455456" cy="1562874"/>
                          </a:xfrm>
                          <a:prstGeom prst="rect">
                            <a:avLst/>
                          </a:prstGeom>
                          <a:ln>
                            <a:noFill/>
                          </a:ln>
                          <a:extLst>
                            <a:ext uri="{53640926-AAD7-44D8-BBD7-CCE9431645EC}">
                              <a14:shadowObscured xmlns:a14="http://schemas.microsoft.com/office/drawing/2010/main"/>
                            </a:ext>
                          </a:extLst>
                        </pic:spPr>
                      </pic:pic>
                    </a:graphicData>
                  </a:graphic>
                </wp:inline>
              </w:drawing>
            </w:r>
          </w:p>
        </w:tc>
        <w:tc>
          <w:tcPr>
            <w:tcW w:w="2515" w:type="dxa"/>
          </w:tcPr>
          <w:p w14:paraId="125DE604" w14:textId="77777777" w:rsidR="009B1BA8" w:rsidRPr="00124DFA" w:rsidRDefault="009B1BA8" w:rsidP="00275F4D">
            <w:pPr>
              <w:pStyle w:val="Text"/>
              <w:spacing w:after="80"/>
              <w:ind w:firstLine="0"/>
              <w:jc w:val="center"/>
              <w:rPr>
                <w:color w:val="000000" w:themeColor="text1"/>
                <w:sz w:val="16"/>
                <w:szCs w:val="16"/>
                <w:lang w:val="es-EC"/>
              </w:rPr>
            </w:pPr>
            <w:r w:rsidRPr="00124DFA">
              <w:rPr>
                <w:noProof/>
                <w:color w:val="000000" w:themeColor="text1"/>
                <w:lang w:val="es-EC" w:eastAsia="es-EC"/>
              </w:rPr>
              <w:drawing>
                <wp:inline distT="0" distB="0" distL="0" distR="0" wp14:anchorId="38D19A86" wp14:editId="5C21DEDE">
                  <wp:extent cx="1468847" cy="1520042"/>
                  <wp:effectExtent l="0" t="0" r="0" b="4445"/>
                  <wp:docPr id="4461447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54308" name=""/>
                          <pic:cNvPicPr/>
                        </pic:nvPicPr>
                        <pic:blipFill>
                          <a:blip r:embed="rId45"/>
                          <a:stretch>
                            <a:fillRect/>
                          </a:stretch>
                        </pic:blipFill>
                        <pic:spPr>
                          <a:xfrm>
                            <a:off x="0" y="0"/>
                            <a:ext cx="1473748" cy="1525114"/>
                          </a:xfrm>
                          <a:prstGeom prst="rect">
                            <a:avLst/>
                          </a:prstGeom>
                        </pic:spPr>
                      </pic:pic>
                    </a:graphicData>
                  </a:graphic>
                </wp:inline>
              </w:drawing>
            </w:r>
          </w:p>
        </w:tc>
      </w:tr>
      <w:tr w:rsidR="009B1BA8" w:rsidRPr="00124DFA" w14:paraId="0ACACDC6" w14:textId="77777777" w:rsidTr="00275F4D">
        <w:trPr>
          <w:trHeight w:val="131"/>
        </w:trPr>
        <w:tc>
          <w:tcPr>
            <w:tcW w:w="2515" w:type="dxa"/>
          </w:tcPr>
          <w:p w14:paraId="3FB25B32" w14:textId="77777777" w:rsidR="009B1BA8" w:rsidRPr="00124DFA" w:rsidRDefault="009B1BA8"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(a)</w:t>
            </w:r>
          </w:p>
        </w:tc>
        <w:tc>
          <w:tcPr>
            <w:tcW w:w="2515" w:type="dxa"/>
          </w:tcPr>
          <w:p w14:paraId="386160C9" w14:textId="77777777" w:rsidR="009B1BA8" w:rsidRPr="00124DFA" w:rsidRDefault="009B1BA8" w:rsidP="00275F4D">
            <w:pPr>
              <w:pStyle w:val="Text"/>
              <w:spacing w:after="80"/>
              <w:ind w:firstLine="0"/>
              <w:jc w:val="center"/>
              <w:rPr>
                <w:color w:val="000000" w:themeColor="text1"/>
                <w:sz w:val="16"/>
                <w:szCs w:val="16"/>
                <w:lang w:val="es-EC"/>
              </w:rPr>
            </w:pPr>
            <w:r w:rsidRPr="00124DFA">
              <w:rPr>
                <w:color w:val="000000" w:themeColor="text1"/>
                <w:sz w:val="16"/>
                <w:szCs w:val="16"/>
                <w:lang w:val="es-EC"/>
              </w:rPr>
              <w:t>(b)</w:t>
            </w:r>
          </w:p>
        </w:tc>
      </w:tr>
    </w:tbl>
    <w:p w14:paraId="13429BCE" w14:textId="667F8577" w:rsidR="009B1BA8" w:rsidRPr="0001468B" w:rsidRDefault="009B1BA8" w:rsidP="009B1BA8">
      <w:pPr>
        <w:pStyle w:val="figurecaption"/>
        <w:rPr>
          <w:lang w:val="es-EC"/>
        </w:rPr>
      </w:pPr>
      <w:r w:rsidRPr="009B1BA8">
        <w:rPr>
          <w:lang w:val="es-EC"/>
        </w:rPr>
        <w:t xml:space="preserve">Resultados de la simulación cuando una línea de transmisión se adicionó al irradiador. Se observa en a) el comportamiento, sobre la carta de Smith, del parámetro </w:t>
      </w:r>
      <w:r w:rsidRPr="00C00797">
        <w:rPr>
          <w:i/>
          <w:lang w:val="es-EC"/>
        </w:rPr>
        <w:t>S</w:t>
      </w:r>
      <w:r w:rsidRPr="00C00797">
        <w:rPr>
          <w:vertAlign w:val="subscript"/>
          <w:lang w:val="es-EC"/>
        </w:rPr>
        <w:t>11</w:t>
      </w:r>
      <w:r w:rsidRPr="009B1BA8">
        <w:rPr>
          <w:lang w:val="es-EC"/>
        </w:rPr>
        <w:t>, b) la razón axial en la dirección broadside</w:t>
      </w:r>
      <w:r w:rsidRPr="0001468B">
        <w:rPr>
          <w:lang w:val="es-EC"/>
        </w:rPr>
        <w:t>.</w:t>
      </w:r>
    </w:p>
    <w:p w14:paraId="1471F3B1" w14:textId="2156B168" w:rsidR="009B1BA8" w:rsidRPr="009B1BA8" w:rsidRDefault="009B1BA8" w:rsidP="009B1BA8">
      <w:pPr>
        <w:pStyle w:val="Text"/>
        <w:rPr>
          <w:lang w:val="es-EC"/>
        </w:rPr>
      </w:pPr>
      <w:r w:rsidRPr="009B1BA8">
        <w:rPr>
          <w:lang w:val="es-EC"/>
        </w:rPr>
        <w:t>Comparando el comportamiento de |</w:t>
      </w:r>
      <w:r w:rsidRPr="009B1BA8">
        <w:rPr>
          <w:i/>
          <w:lang w:val="es-EC"/>
        </w:rPr>
        <w:t>S</w:t>
      </w:r>
      <w:r w:rsidRPr="009B1BA8">
        <w:rPr>
          <w:vertAlign w:val="subscript"/>
          <w:lang w:val="es-EC"/>
        </w:rPr>
        <w:t>11</w:t>
      </w:r>
      <w:r w:rsidRPr="009B1BA8">
        <w:rPr>
          <w:lang w:val="es-EC"/>
        </w:rPr>
        <w:t xml:space="preserve">| de las figuras </w:t>
      </w:r>
      <w:r w:rsidRPr="009B1BA8">
        <w:rPr>
          <w:lang w:val="es-EC"/>
        </w:rPr>
        <w:lastRenderedPageBreak/>
        <w:t>Fig.</w:t>
      </w:r>
      <w:r>
        <w:rPr>
          <w:lang w:val="es-EC"/>
        </w:rPr>
        <w:t> </w:t>
      </w:r>
      <w:r w:rsidRPr="009B1BA8">
        <w:rPr>
          <w:lang w:val="es-EC"/>
        </w:rPr>
        <w:t>5c y Fig. 6a se observa que realmente el punto de trabajo se desplazó para 1</w:t>
      </w:r>
      <w:r w:rsidR="00C00797">
        <w:rPr>
          <w:lang w:val="es-EC"/>
        </w:rPr>
        <w:t>.</w:t>
      </w:r>
      <w:r w:rsidRPr="009B1BA8">
        <w:rPr>
          <w:lang w:val="es-EC"/>
        </w:rPr>
        <w:t>04-j1</w:t>
      </w:r>
      <w:r w:rsidR="00C00797">
        <w:rPr>
          <w:lang w:val="es-EC"/>
        </w:rPr>
        <w:t>.</w:t>
      </w:r>
      <w:r w:rsidRPr="009B1BA8">
        <w:rPr>
          <w:lang w:val="es-EC"/>
        </w:rPr>
        <w:t>85 en la frecuencia de 1</w:t>
      </w:r>
      <w:r w:rsidR="00C00797">
        <w:rPr>
          <w:lang w:val="es-EC"/>
        </w:rPr>
        <w:t>.</w:t>
      </w:r>
      <w:r w:rsidRPr="009B1BA8">
        <w:rPr>
          <w:lang w:val="es-EC"/>
        </w:rPr>
        <w:t>575 GHz. Además, el incremento de 0,4 dB en la RA (i.e.</w:t>
      </w:r>
      <w:r w:rsidR="00C00797">
        <w:rPr>
          <w:lang w:val="es-EC"/>
        </w:rPr>
        <w:t>,</w:t>
      </w:r>
      <w:r w:rsidRPr="009B1BA8">
        <w:rPr>
          <w:lang w:val="es-EC"/>
        </w:rPr>
        <w:t xml:space="preserve"> de 0</w:t>
      </w:r>
      <w:r w:rsidR="00C00797">
        <w:rPr>
          <w:lang w:val="es-EC"/>
        </w:rPr>
        <w:t>.</w:t>
      </w:r>
      <w:r w:rsidRPr="009B1BA8">
        <w:rPr>
          <w:lang w:val="es-EC"/>
        </w:rPr>
        <w:t>82 para 1</w:t>
      </w:r>
      <w:r w:rsidR="00C00797">
        <w:rPr>
          <w:lang w:val="es-EC"/>
        </w:rPr>
        <w:t>.</w:t>
      </w:r>
      <w:r w:rsidRPr="009B1BA8">
        <w:rPr>
          <w:lang w:val="es-EC"/>
        </w:rPr>
        <w:t xml:space="preserve">22) es producido por la perturbación que la línea de transmisión causa sobre los campos irradiados por el </w:t>
      </w:r>
      <w:proofErr w:type="spellStart"/>
      <w:r w:rsidRPr="009B1BA8">
        <w:rPr>
          <w:lang w:val="es-EC"/>
        </w:rPr>
        <w:t>patch</w:t>
      </w:r>
      <w:proofErr w:type="spellEnd"/>
      <w:r w:rsidRPr="009B1BA8">
        <w:rPr>
          <w:lang w:val="es-EC"/>
        </w:rPr>
        <w:t>. Adicionalmente, se puede observar en la Fig. 6b que el ancho de banda de la RA es de</w:t>
      </w:r>
      <w:r w:rsidR="001E481C">
        <w:rPr>
          <w:lang w:val="es-EC"/>
        </w:rPr>
        <w:t xml:space="preserve"> aproximadamente</w:t>
      </w:r>
      <w:r w:rsidRPr="009B1BA8">
        <w:rPr>
          <w:lang w:val="es-EC"/>
        </w:rPr>
        <w:t xml:space="preserve"> 15 MHz como fue definido en las especificaciones. </w:t>
      </w:r>
    </w:p>
    <w:p w14:paraId="729E8485" w14:textId="2BFE00DF" w:rsidR="009B1BA8" w:rsidRPr="009B1BA8" w:rsidRDefault="009B1BA8" w:rsidP="009B1BA8">
      <w:pPr>
        <w:pStyle w:val="Text"/>
        <w:rPr>
          <w:lang w:val="es-EC"/>
        </w:rPr>
      </w:pPr>
      <w:r w:rsidRPr="009B1BA8">
        <w:rPr>
          <w:lang w:val="es-EC"/>
        </w:rPr>
        <w:t xml:space="preserve">Finalmente, las dimensiones optimizadas para la geometría de la antena y las simulaciones para los parámetros de desempeño son </w:t>
      </w:r>
      <w:r w:rsidR="006C12B9">
        <w:rPr>
          <w:lang w:val="es-EC"/>
        </w:rPr>
        <w:t>presentadas</w:t>
      </w:r>
      <w:r w:rsidRPr="009B1BA8">
        <w:rPr>
          <w:lang w:val="es-EC"/>
        </w:rPr>
        <w:t xml:space="preserve"> en la sección IV.</w:t>
      </w:r>
    </w:p>
    <w:p w14:paraId="5A9442A7" w14:textId="70EA554F" w:rsidR="009B1BA8" w:rsidRPr="009B1BA8" w:rsidRDefault="009B1BA8" w:rsidP="009B1BA8">
      <w:pPr>
        <w:pStyle w:val="Ttulo1"/>
        <w:rPr>
          <w:lang w:val="es-EC"/>
        </w:rPr>
      </w:pPr>
      <w:r w:rsidRPr="009B1BA8">
        <w:rPr>
          <w:lang w:val="es-EC"/>
        </w:rPr>
        <w:t>Geometría Optimizada De La Antena Y Su Desempeño Simulado Con HFSS</w:t>
      </w:r>
    </w:p>
    <w:p w14:paraId="04CDE1A1" w14:textId="5208EC6E" w:rsidR="009B1BA8" w:rsidRPr="009B1BA8" w:rsidRDefault="009B1BA8" w:rsidP="009B1BA8">
      <w:pPr>
        <w:pStyle w:val="Text"/>
        <w:rPr>
          <w:lang w:val="es-EC"/>
        </w:rPr>
      </w:pPr>
      <w:r w:rsidRPr="009B1BA8">
        <w:rPr>
          <w:lang w:val="es-EC"/>
        </w:rPr>
        <w:t xml:space="preserve">En este punto se debe recordar que la geometría y las dimensiones del laminado TMM10i usado para construir la antena es un cuadrado de 60mm x 60mm y 3,81mm de espesura. Adicionalmente, el </w:t>
      </w:r>
      <w:proofErr w:type="spellStart"/>
      <w:r w:rsidRPr="009B1BA8">
        <w:rPr>
          <w:lang w:val="es-EC"/>
        </w:rPr>
        <w:t>patch</w:t>
      </w:r>
      <w:proofErr w:type="spellEnd"/>
      <w:r w:rsidRPr="009B1BA8">
        <w:rPr>
          <w:lang w:val="es-EC"/>
        </w:rPr>
        <w:t xml:space="preserve"> irradiador está alejado de la borda del laminado de 8 mm (ver Fig. 2). En la Tabla </w:t>
      </w:r>
      <w:r w:rsidR="00C00797">
        <w:rPr>
          <w:lang w:val="es-EC"/>
        </w:rPr>
        <w:t>II</w:t>
      </w:r>
      <w:r w:rsidRPr="009B1BA8">
        <w:rPr>
          <w:lang w:val="es-EC"/>
        </w:rPr>
        <w:t xml:space="preserve"> se presenta la comparación entre las dimensiones de la geometría inicial y la geometría optimizada.</w:t>
      </w:r>
    </w:p>
    <w:p w14:paraId="576B0C71" w14:textId="6707B015" w:rsidR="00D010B7" w:rsidRDefault="009B1BA8" w:rsidP="009B1BA8">
      <w:pPr>
        <w:pStyle w:val="Text"/>
        <w:rPr>
          <w:lang w:val="es-EC"/>
        </w:rPr>
      </w:pPr>
      <w:r w:rsidRPr="009B1BA8">
        <w:rPr>
          <w:lang w:val="es-EC"/>
        </w:rPr>
        <w:t xml:space="preserve">Al comparar las dimensiones </w:t>
      </w:r>
      <w:r w:rsidRPr="009B1BA8">
        <w:rPr>
          <w:i/>
          <w:lang w:val="es-EC"/>
        </w:rPr>
        <w:t>a</w:t>
      </w:r>
      <w:r w:rsidRPr="009B1BA8">
        <w:rPr>
          <w:lang w:val="es-EC"/>
        </w:rPr>
        <w:t xml:space="preserve"> y </w:t>
      </w:r>
      <w:r w:rsidRPr="009B1BA8">
        <w:rPr>
          <w:i/>
          <w:lang w:val="es-EC"/>
        </w:rPr>
        <w:t>b</w:t>
      </w:r>
      <w:r w:rsidRPr="009B1BA8">
        <w:rPr>
          <w:lang w:val="es-EC"/>
        </w:rPr>
        <w:t xml:space="preserve"> (ver Tab</w:t>
      </w:r>
      <w:r w:rsidR="00C00797">
        <w:rPr>
          <w:lang w:val="es-EC"/>
        </w:rPr>
        <w:t>la</w:t>
      </w:r>
      <w:r w:rsidRPr="009B1BA8">
        <w:rPr>
          <w:lang w:val="es-EC"/>
        </w:rPr>
        <w:t xml:space="preserve"> </w:t>
      </w:r>
      <w:r w:rsidR="00C00797">
        <w:rPr>
          <w:lang w:val="es-EC"/>
        </w:rPr>
        <w:t>II</w:t>
      </w:r>
      <w:r w:rsidRPr="009B1BA8">
        <w:rPr>
          <w:lang w:val="es-EC"/>
        </w:rPr>
        <w:t>)</w:t>
      </w:r>
      <w:r w:rsidR="001E481C">
        <w:rPr>
          <w:lang w:val="es-EC"/>
        </w:rPr>
        <w:t>,</w:t>
      </w:r>
      <w:r w:rsidRPr="009B1BA8">
        <w:rPr>
          <w:lang w:val="es-EC"/>
        </w:rPr>
        <w:t xml:space="preserve"> se observa que la reducción en sus dimensiones no supera el 9,5%, aproximadamente. Si no se realiza esta reducción en las dimensiones de la geometría inicial</w:t>
      </w:r>
      <w:r w:rsidR="001E481C">
        <w:rPr>
          <w:lang w:val="es-EC"/>
        </w:rPr>
        <w:t>,</w:t>
      </w:r>
      <w:r w:rsidRPr="009B1BA8">
        <w:rPr>
          <w:lang w:val="es-EC"/>
        </w:rPr>
        <w:t xml:space="preserve"> la antena simplemente no opera dentro de las especificaciones necesarias. Al contrario, la antena optimizada cumple totalmente con las especificaciones del proyecto y esto se verifica observando las Fig. 6, Fig. 7 y Fig. 8.</w:t>
      </w:r>
    </w:p>
    <w:p w14:paraId="24E2F7AF" w14:textId="77777777" w:rsidR="009B1BA8" w:rsidRPr="00E63FDF" w:rsidRDefault="009B1BA8" w:rsidP="009B1BA8">
      <w:pPr>
        <w:pStyle w:val="TableTitle"/>
        <w:spacing w:before="240"/>
        <w:rPr>
          <w:sz w:val="18"/>
          <w:szCs w:val="18"/>
          <w:lang w:val="es-EC"/>
        </w:rPr>
      </w:pPr>
      <w:r w:rsidRPr="00E63FDF">
        <w:rPr>
          <w:sz w:val="18"/>
          <w:szCs w:val="18"/>
          <w:lang w:val="es-EC"/>
        </w:rPr>
        <w:t>Tabl</w:t>
      </w:r>
      <w:r>
        <w:rPr>
          <w:sz w:val="18"/>
          <w:szCs w:val="18"/>
          <w:lang w:val="es-EC"/>
        </w:rPr>
        <w:t>a</w:t>
      </w:r>
      <w:r w:rsidRPr="00E63FDF">
        <w:rPr>
          <w:sz w:val="18"/>
          <w:szCs w:val="18"/>
          <w:lang w:val="es-EC"/>
        </w:rPr>
        <w:t xml:space="preserve"> </w:t>
      </w:r>
      <w:r w:rsidRPr="00196BAE">
        <w:rPr>
          <w:sz w:val="18"/>
          <w:szCs w:val="18"/>
          <w:lang w:val="es-EC"/>
        </w:rPr>
        <w:fldChar w:fldCharType="begin"/>
      </w:r>
      <w:r w:rsidRPr="00E63FDF">
        <w:rPr>
          <w:sz w:val="18"/>
          <w:szCs w:val="18"/>
          <w:lang w:val="es-EC"/>
        </w:rPr>
        <w:instrText xml:space="preserve"> SEQ Table \* ROMAN </w:instrText>
      </w:r>
      <w:r w:rsidRPr="00196BAE">
        <w:rPr>
          <w:sz w:val="18"/>
          <w:szCs w:val="18"/>
          <w:lang w:val="es-EC"/>
        </w:rPr>
        <w:fldChar w:fldCharType="separate"/>
      </w:r>
      <w:r w:rsidR="00807771">
        <w:rPr>
          <w:noProof/>
          <w:sz w:val="18"/>
          <w:szCs w:val="18"/>
          <w:lang w:val="es-EC"/>
        </w:rPr>
        <w:t>II</w:t>
      </w:r>
      <w:r w:rsidRPr="00196BAE">
        <w:rPr>
          <w:sz w:val="18"/>
          <w:szCs w:val="18"/>
          <w:lang w:val="es-EC"/>
        </w:rPr>
        <w:fldChar w:fldCharType="end"/>
      </w:r>
    </w:p>
    <w:p w14:paraId="3244CBA4" w14:textId="16D2CCAE" w:rsidR="009B1BA8" w:rsidRPr="00D010B7" w:rsidRDefault="009B1BA8" w:rsidP="009B1BA8">
      <w:pPr>
        <w:pStyle w:val="TableTitle"/>
        <w:rPr>
          <w:sz w:val="18"/>
          <w:szCs w:val="18"/>
          <w:lang w:val="es-EC"/>
        </w:rPr>
      </w:pPr>
      <w:r w:rsidRPr="009B1BA8">
        <w:rPr>
          <w:sz w:val="18"/>
          <w:szCs w:val="18"/>
          <w:lang w:val="es-EC"/>
        </w:rPr>
        <w:t>Comparación entre las dimensiones de la geometría inicial y optimizada para la antena casi cuadrada</w:t>
      </w:r>
    </w:p>
    <w:tbl>
      <w:tblPr>
        <w:tblStyle w:val="Tablaconcuadrcula"/>
        <w:tblW w:w="0" w:type="auto"/>
        <w:tblBorders>
          <w:top w:val="double" w:sz="4" w:space="0" w:color="auto"/>
          <w:left w:val="none" w:sz="0" w:space="0" w:color="auto"/>
          <w:bottom w:val="double" w:sz="4"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1"/>
        <w:gridCol w:w="752"/>
        <w:gridCol w:w="752"/>
        <w:gridCol w:w="752"/>
        <w:gridCol w:w="752"/>
      </w:tblGrid>
      <w:tr w:rsidR="009B1BA8" w:rsidRPr="00124DFA" w14:paraId="52DDC373" w14:textId="77777777" w:rsidTr="009B1BA8">
        <w:tc>
          <w:tcPr>
            <w:tcW w:w="1271" w:type="dxa"/>
            <w:tcBorders>
              <w:bottom w:val="single" w:sz="4" w:space="0" w:color="auto"/>
            </w:tcBorders>
            <w:vAlign w:val="center"/>
          </w:tcPr>
          <w:p w14:paraId="5E1CD100"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Geometría</w:t>
            </w:r>
          </w:p>
        </w:tc>
        <w:tc>
          <w:tcPr>
            <w:tcW w:w="751" w:type="dxa"/>
            <w:tcBorders>
              <w:bottom w:val="single" w:sz="4" w:space="0" w:color="auto"/>
            </w:tcBorders>
            <w:vAlign w:val="center"/>
          </w:tcPr>
          <w:p w14:paraId="128AC7BE" w14:textId="77777777" w:rsidR="009B1BA8" w:rsidRPr="00124DFA" w:rsidRDefault="009B1BA8" w:rsidP="00275F4D">
            <w:pPr>
              <w:pStyle w:val="Text"/>
              <w:ind w:firstLine="0"/>
              <w:jc w:val="center"/>
              <w:rPr>
                <w:i/>
                <w:iCs/>
                <w:color w:val="000000" w:themeColor="text1"/>
                <w:sz w:val="18"/>
                <w:szCs w:val="18"/>
                <w:lang w:val="es-EC"/>
              </w:rPr>
            </w:pPr>
            <w:r w:rsidRPr="00124DFA">
              <w:rPr>
                <w:i/>
                <w:iCs/>
                <w:color w:val="000000" w:themeColor="text1"/>
                <w:sz w:val="18"/>
                <w:szCs w:val="18"/>
                <w:lang w:val="es-EC"/>
              </w:rPr>
              <w:t>a</w:t>
            </w:r>
          </w:p>
          <w:p w14:paraId="711D7639"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mm</w:t>
            </w:r>
          </w:p>
        </w:tc>
        <w:tc>
          <w:tcPr>
            <w:tcW w:w="752" w:type="dxa"/>
            <w:tcBorders>
              <w:bottom w:val="single" w:sz="4" w:space="0" w:color="auto"/>
            </w:tcBorders>
            <w:vAlign w:val="center"/>
          </w:tcPr>
          <w:p w14:paraId="124D5D60" w14:textId="77777777" w:rsidR="009B1BA8" w:rsidRPr="00124DFA" w:rsidRDefault="009B1BA8" w:rsidP="00275F4D">
            <w:pPr>
              <w:pStyle w:val="Text"/>
              <w:ind w:firstLine="0"/>
              <w:jc w:val="center"/>
              <w:rPr>
                <w:i/>
                <w:iCs/>
                <w:color w:val="000000" w:themeColor="text1"/>
                <w:sz w:val="18"/>
                <w:szCs w:val="18"/>
                <w:lang w:val="es-EC"/>
              </w:rPr>
            </w:pPr>
            <w:r w:rsidRPr="00124DFA">
              <w:rPr>
                <w:i/>
                <w:iCs/>
                <w:color w:val="000000" w:themeColor="text1"/>
                <w:sz w:val="18"/>
                <w:szCs w:val="18"/>
                <w:lang w:val="es-EC"/>
              </w:rPr>
              <w:t>b</w:t>
            </w:r>
          </w:p>
          <w:p w14:paraId="3D03D84F"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mm</w:t>
            </w:r>
          </w:p>
        </w:tc>
        <w:tc>
          <w:tcPr>
            <w:tcW w:w="752" w:type="dxa"/>
            <w:tcBorders>
              <w:bottom w:val="single" w:sz="4" w:space="0" w:color="auto"/>
            </w:tcBorders>
            <w:vAlign w:val="center"/>
          </w:tcPr>
          <w:p w14:paraId="578E1D86" w14:textId="77777777" w:rsidR="009B1BA8" w:rsidRPr="00124DFA" w:rsidRDefault="009B1BA8" w:rsidP="00275F4D">
            <w:pPr>
              <w:pStyle w:val="Text"/>
              <w:ind w:firstLine="0"/>
              <w:jc w:val="center"/>
              <w:rPr>
                <w:color w:val="000000" w:themeColor="text1"/>
                <w:sz w:val="18"/>
                <w:szCs w:val="18"/>
                <w:lang w:val="es-EC"/>
              </w:rPr>
            </w:pPr>
            <w:r w:rsidRPr="00124DFA">
              <w:rPr>
                <w:i/>
                <w:iCs/>
                <w:color w:val="000000" w:themeColor="text1"/>
                <w:sz w:val="18"/>
                <w:szCs w:val="18"/>
                <w:lang w:val="es-EC"/>
              </w:rPr>
              <w:t>W</w:t>
            </w:r>
            <w:r w:rsidRPr="00124DFA">
              <w:rPr>
                <w:color w:val="000000" w:themeColor="text1"/>
                <w:sz w:val="18"/>
                <w:szCs w:val="18"/>
                <w:vertAlign w:val="subscript"/>
                <w:lang w:val="es-EC"/>
              </w:rPr>
              <w:t>1</w:t>
            </w:r>
          </w:p>
          <w:p w14:paraId="020F7AD2"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mm</w:t>
            </w:r>
          </w:p>
        </w:tc>
        <w:tc>
          <w:tcPr>
            <w:tcW w:w="752" w:type="dxa"/>
            <w:tcBorders>
              <w:bottom w:val="single" w:sz="4" w:space="0" w:color="auto"/>
            </w:tcBorders>
            <w:vAlign w:val="center"/>
          </w:tcPr>
          <w:p w14:paraId="26E7754D" w14:textId="77777777" w:rsidR="009B1BA8" w:rsidRPr="00124DFA" w:rsidRDefault="009B1BA8" w:rsidP="00275F4D">
            <w:pPr>
              <w:pStyle w:val="Text"/>
              <w:ind w:firstLine="0"/>
              <w:jc w:val="center"/>
              <w:rPr>
                <w:color w:val="000000" w:themeColor="text1"/>
                <w:sz w:val="18"/>
                <w:szCs w:val="18"/>
                <w:lang w:val="es-EC"/>
              </w:rPr>
            </w:pPr>
            <w:r w:rsidRPr="00124DFA">
              <w:rPr>
                <w:i/>
                <w:iCs/>
                <w:color w:val="000000" w:themeColor="text1"/>
                <w:sz w:val="18"/>
                <w:szCs w:val="18"/>
                <w:lang w:val="es-EC"/>
              </w:rPr>
              <w:t>W</w:t>
            </w:r>
            <w:r w:rsidRPr="00124DFA">
              <w:rPr>
                <w:color w:val="000000" w:themeColor="text1"/>
                <w:sz w:val="18"/>
                <w:szCs w:val="18"/>
                <w:vertAlign w:val="subscript"/>
                <w:lang w:val="es-EC"/>
              </w:rPr>
              <w:t>2</w:t>
            </w:r>
          </w:p>
          <w:p w14:paraId="188BC87E"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mm</w:t>
            </w:r>
          </w:p>
        </w:tc>
        <w:tc>
          <w:tcPr>
            <w:tcW w:w="752" w:type="dxa"/>
            <w:tcBorders>
              <w:bottom w:val="single" w:sz="4" w:space="0" w:color="auto"/>
            </w:tcBorders>
            <w:vAlign w:val="center"/>
          </w:tcPr>
          <w:p w14:paraId="4597591F" w14:textId="77777777" w:rsidR="009B1BA8" w:rsidRPr="00124DFA" w:rsidRDefault="009B1BA8" w:rsidP="00275F4D">
            <w:pPr>
              <w:pStyle w:val="Text"/>
              <w:ind w:firstLine="0"/>
              <w:jc w:val="center"/>
              <w:rPr>
                <w:color w:val="000000" w:themeColor="text1"/>
                <w:sz w:val="18"/>
                <w:szCs w:val="18"/>
                <w:lang w:val="es-EC"/>
              </w:rPr>
            </w:pPr>
            <w:r w:rsidRPr="00124DFA">
              <w:rPr>
                <w:i/>
                <w:iCs/>
                <w:color w:val="000000" w:themeColor="text1"/>
                <w:sz w:val="18"/>
                <w:szCs w:val="18"/>
                <w:lang w:val="es-EC"/>
              </w:rPr>
              <w:t>W</w:t>
            </w:r>
            <w:r w:rsidRPr="00124DFA">
              <w:rPr>
                <w:color w:val="000000" w:themeColor="text1"/>
                <w:sz w:val="18"/>
                <w:szCs w:val="18"/>
                <w:vertAlign w:val="subscript"/>
                <w:lang w:val="es-EC"/>
              </w:rPr>
              <w:t>3</w:t>
            </w:r>
          </w:p>
          <w:p w14:paraId="5A42E1D0" w14:textId="77777777" w:rsidR="009B1BA8" w:rsidRPr="00124DFA" w:rsidRDefault="009B1BA8" w:rsidP="00275F4D">
            <w:pPr>
              <w:pStyle w:val="Text"/>
              <w:ind w:firstLine="0"/>
              <w:jc w:val="center"/>
              <w:rPr>
                <w:color w:val="000000" w:themeColor="text1"/>
                <w:sz w:val="18"/>
                <w:szCs w:val="18"/>
                <w:lang w:val="es-EC"/>
              </w:rPr>
            </w:pPr>
            <w:r w:rsidRPr="00124DFA">
              <w:rPr>
                <w:color w:val="000000" w:themeColor="text1"/>
                <w:sz w:val="18"/>
                <w:szCs w:val="18"/>
                <w:lang w:val="es-EC"/>
              </w:rPr>
              <w:t>mm</w:t>
            </w:r>
          </w:p>
        </w:tc>
      </w:tr>
      <w:tr w:rsidR="009B1BA8" w:rsidRPr="00124DFA" w14:paraId="50C0C7AB" w14:textId="77777777" w:rsidTr="009B1BA8">
        <w:tc>
          <w:tcPr>
            <w:tcW w:w="1271" w:type="dxa"/>
            <w:tcBorders>
              <w:top w:val="single" w:sz="4" w:space="0" w:color="auto"/>
              <w:bottom w:val="nil"/>
            </w:tcBorders>
          </w:tcPr>
          <w:p w14:paraId="209FF948" w14:textId="77777777" w:rsidR="009B1BA8" w:rsidRPr="00124DFA" w:rsidRDefault="009B1BA8" w:rsidP="00275F4D">
            <w:pPr>
              <w:pStyle w:val="Text"/>
              <w:ind w:firstLine="0"/>
              <w:rPr>
                <w:color w:val="000000" w:themeColor="text1"/>
                <w:sz w:val="18"/>
                <w:szCs w:val="18"/>
                <w:lang w:val="es-EC"/>
              </w:rPr>
            </w:pPr>
            <w:r w:rsidRPr="00124DFA">
              <w:rPr>
                <w:color w:val="000000" w:themeColor="text1"/>
                <w:sz w:val="18"/>
                <w:szCs w:val="18"/>
                <w:lang w:val="es-EC"/>
              </w:rPr>
              <w:t>Inicial</w:t>
            </w:r>
          </w:p>
        </w:tc>
        <w:tc>
          <w:tcPr>
            <w:tcW w:w="751" w:type="dxa"/>
            <w:tcBorders>
              <w:top w:val="single" w:sz="4" w:space="0" w:color="auto"/>
              <w:bottom w:val="nil"/>
            </w:tcBorders>
          </w:tcPr>
          <w:p w14:paraId="342B0537" w14:textId="5681E3CB"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30</w:t>
            </w:r>
            <w:r>
              <w:rPr>
                <w:color w:val="000000" w:themeColor="text1"/>
                <w:sz w:val="18"/>
                <w:szCs w:val="18"/>
                <w:lang w:val="es-EC"/>
              </w:rPr>
              <w:t>.</w:t>
            </w:r>
            <w:r w:rsidRPr="00124DFA">
              <w:rPr>
                <w:color w:val="000000" w:themeColor="text1"/>
                <w:sz w:val="18"/>
                <w:szCs w:val="18"/>
                <w:lang w:val="es-EC"/>
              </w:rPr>
              <w:t>41</w:t>
            </w:r>
          </w:p>
        </w:tc>
        <w:tc>
          <w:tcPr>
            <w:tcW w:w="752" w:type="dxa"/>
            <w:tcBorders>
              <w:top w:val="single" w:sz="4" w:space="0" w:color="auto"/>
              <w:bottom w:val="nil"/>
            </w:tcBorders>
          </w:tcPr>
          <w:p w14:paraId="7173E273" w14:textId="0D5C3DF2"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30</w:t>
            </w:r>
            <w:r>
              <w:rPr>
                <w:color w:val="000000" w:themeColor="text1"/>
                <w:sz w:val="18"/>
                <w:szCs w:val="18"/>
                <w:lang w:val="es-EC"/>
              </w:rPr>
              <w:t>.</w:t>
            </w:r>
            <w:r w:rsidRPr="00124DFA">
              <w:rPr>
                <w:color w:val="000000" w:themeColor="text1"/>
                <w:sz w:val="18"/>
                <w:szCs w:val="18"/>
                <w:lang w:val="es-EC"/>
              </w:rPr>
              <w:t>41</w:t>
            </w:r>
          </w:p>
        </w:tc>
        <w:tc>
          <w:tcPr>
            <w:tcW w:w="752" w:type="dxa"/>
            <w:tcBorders>
              <w:top w:val="single" w:sz="4" w:space="0" w:color="auto"/>
              <w:bottom w:val="nil"/>
            </w:tcBorders>
          </w:tcPr>
          <w:p w14:paraId="05C33CF5" w14:textId="2B9FF2FE"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0</w:t>
            </w:r>
            <w:r>
              <w:rPr>
                <w:color w:val="000000" w:themeColor="text1"/>
                <w:sz w:val="18"/>
                <w:szCs w:val="18"/>
                <w:lang w:val="es-EC"/>
              </w:rPr>
              <w:t>.</w:t>
            </w:r>
            <w:r w:rsidRPr="00124DFA">
              <w:rPr>
                <w:color w:val="000000" w:themeColor="text1"/>
                <w:sz w:val="18"/>
                <w:szCs w:val="18"/>
                <w:lang w:val="es-EC"/>
              </w:rPr>
              <w:t>00</w:t>
            </w:r>
          </w:p>
        </w:tc>
        <w:tc>
          <w:tcPr>
            <w:tcW w:w="752" w:type="dxa"/>
            <w:tcBorders>
              <w:top w:val="single" w:sz="4" w:space="0" w:color="auto"/>
              <w:bottom w:val="nil"/>
            </w:tcBorders>
          </w:tcPr>
          <w:p w14:paraId="2E063B20" w14:textId="6DC134AE"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0</w:t>
            </w:r>
            <w:r>
              <w:rPr>
                <w:color w:val="000000" w:themeColor="text1"/>
                <w:sz w:val="18"/>
                <w:szCs w:val="18"/>
                <w:lang w:val="es-EC"/>
              </w:rPr>
              <w:t>.</w:t>
            </w:r>
            <w:r w:rsidRPr="00124DFA">
              <w:rPr>
                <w:color w:val="000000" w:themeColor="text1"/>
                <w:sz w:val="18"/>
                <w:szCs w:val="18"/>
                <w:lang w:val="es-EC"/>
              </w:rPr>
              <w:t>00</w:t>
            </w:r>
          </w:p>
        </w:tc>
        <w:tc>
          <w:tcPr>
            <w:tcW w:w="752" w:type="dxa"/>
            <w:tcBorders>
              <w:top w:val="single" w:sz="4" w:space="0" w:color="auto"/>
              <w:bottom w:val="nil"/>
            </w:tcBorders>
          </w:tcPr>
          <w:p w14:paraId="40171656" w14:textId="34EC513E"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0</w:t>
            </w:r>
            <w:r>
              <w:rPr>
                <w:color w:val="000000" w:themeColor="text1"/>
                <w:sz w:val="18"/>
                <w:szCs w:val="18"/>
                <w:lang w:val="es-EC"/>
              </w:rPr>
              <w:t>.</w:t>
            </w:r>
            <w:r w:rsidRPr="00124DFA">
              <w:rPr>
                <w:color w:val="000000" w:themeColor="text1"/>
                <w:sz w:val="18"/>
                <w:szCs w:val="18"/>
                <w:lang w:val="es-EC"/>
              </w:rPr>
              <w:t>00</w:t>
            </w:r>
          </w:p>
        </w:tc>
      </w:tr>
      <w:tr w:rsidR="009B1BA8" w:rsidRPr="00124DFA" w14:paraId="1D447C36" w14:textId="77777777" w:rsidTr="009B1BA8">
        <w:tc>
          <w:tcPr>
            <w:tcW w:w="1271" w:type="dxa"/>
            <w:tcBorders>
              <w:top w:val="nil"/>
            </w:tcBorders>
          </w:tcPr>
          <w:p w14:paraId="0EB8D094" w14:textId="77777777" w:rsidR="009B1BA8" w:rsidRPr="00124DFA" w:rsidRDefault="009B1BA8" w:rsidP="00275F4D">
            <w:pPr>
              <w:pStyle w:val="Text"/>
              <w:ind w:firstLine="0"/>
              <w:rPr>
                <w:color w:val="000000" w:themeColor="text1"/>
                <w:sz w:val="18"/>
                <w:szCs w:val="18"/>
                <w:lang w:val="es-EC"/>
              </w:rPr>
            </w:pPr>
            <w:r w:rsidRPr="00124DFA">
              <w:rPr>
                <w:color w:val="000000" w:themeColor="text1"/>
                <w:sz w:val="18"/>
                <w:szCs w:val="18"/>
                <w:lang w:val="es-EC"/>
              </w:rPr>
              <w:t>Optimizada</w:t>
            </w:r>
          </w:p>
        </w:tc>
        <w:tc>
          <w:tcPr>
            <w:tcW w:w="751" w:type="dxa"/>
            <w:tcBorders>
              <w:top w:val="nil"/>
            </w:tcBorders>
          </w:tcPr>
          <w:p w14:paraId="63266EFE" w14:textId="526DA01E" w:rsidR="009B1BA8" w:rsidRPr="00124DFA" w:rsidRDefault="009B1BA8" w:rsidP="00275F4D">
            <w:pPr>
              <w:pStyle w:val="Text"/>
              <w:ind w:firstLine="0"/>
              <w:jc w:val="center"/>
              <w:rPr>
                <w:color w:val="000000" w:themeColor="text1"/>
                <w:sz w:val="18"/>
                <w:szCs w:val="18"/>
                <w:lang w:val="es-EC"/>
              </w:rPr>
            </w:pPr>
            <w:r>
              <w:rPr>
                <w:color w:val="000000" w:themeColor="text1"/>
                <w:sz w:val="18"/>
                <w:szCs w:val="18"/>
                <w:lang w:val="es-EC"/>
              </w:rPr>
              <w:t>27.</w:t>
            </w:r>
            <w:r w:rsidRPr="00124DFA">
              <w:rPr>
                <w:color w:val="000000" w:themeColor="text1"/>
                <w:sz w:val="18"/>
                <w:szCs w:val="18"/>
                <w:lang w:val="es-EC"/>
              </w:rPr>
              <w:t>52</w:t>
            </w:r>
          </w:p>
        </w:tc>
        <w:tc>
          <w:tcPr>
            <w:tcW w:w="752" w:type="dxa"/>
            <w:tcBorders>
              <w:top w:val="nil"/>
            </w:tcBorders>
          </w:tcPr>
          <w:p w14:paraId="547CED13" w14:textId="588BDEF1"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28</w:t>
            </w:r>
            <w:r>
              <w:rPr>
                <w:color w:val="000000" w:themeColor="text1"/>
                <w:sz w:val="18"/>
                <w:szCs w:val="18"/>
                <w:lang w:val="es-EC"/>
              </w:rPr>
              <w:t>.</w:t>
            </w:r>
            <w:r w:rsidRPr="00124DFA">
              <w:rPr>
                <w:color w:val="000000" w:themeColor="text1"/>
                <w:sz w:val="18"/>
                <w:szCs w:val="18"/>
                <w:lang w:val="es-EC"/>
              </w:rPr>
              <w:t>51</w:t>
            </w:r>
          </w:p>
        </w:tc>
        <w:tc>
          <w:tcPr>
            <w:tcW w:w="752" w:type="dxa"/>
            <w:tcBorders>
              <w:top w:val="nil"/>
            </w:tcBorders>
          </w:tcPr>
          <w:p w14:paraId="579FD3D5" w14:textId="6D9424D6"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3</w:t>
            </w:r>
            <w:r>
              <w:rPr>
                <w:color w:val="000000" w:themeColor="text1"/>
                <w:sz w:val="18"/>
                <w:szCs w:val="18"/>
                <w:lang w:val="es-EC"/>
              </w:rPr>
              <w:t>.</w:t>
            </w:r>
            <w:r w:rsidRPr="00124DFA">
              <w:rPr>
                <w:color w:val="000000" w:themeColor="text1"/>
                <w:sz w:val="18"/>
                <w:szCs w:val="18"/>
                <w:lang w:val="es-EC"/>
              </w:rPr>
              <w:t>00</w:t>
            </w:r>
          </w:p>
        </w:tc>
        <w:tc>
          <w:tcPr>
            <w:tcW w:w="752" w:type="dxa"/>
            <w:tcBorders>
              <w:top w:val="nil"/>
            </w:tcBorders>
          </w:tcPr>
          <w:p w14:paraId="298E7BBB" w14:textId="5F78E339"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2</w:t>
            </w:r>
            <w:r>
              <w:rPr>
                <w:color w:val="000000" w:themeColor="text1"/>
                <w:sz w:val="18"/>
                <w:szCs w:val="18"/>
                <w:lang w:val="es-EC"/>
              </w:rPr>
              <w:t>.</w:t>
            </w:r>
            <w:r w:rsidRPr="00124DFA">
              <w:rPr>
                <w:color w:val="000000" w:themeColor="text1"/>
                <w:sz w:val="18"/>
                <w:szCs w:val="18"/>
                <w:lang w:val="es-EC"/>
              </w:rPr>
              <w:t>50</w:t>
            </w:r>
          </w:p>
        </w:tc>
        <w:tc>
          <w:tcPr>
            <w:tcW w:w="752" w:type="dxa"/>
            <w:tcBorders>
              <w:top w:val="nil"/>
            </w:tcBorders>
          </w:tcPr>
          <w:p w14:paraId="5A2D773E" w14:textId="2F0A57A4" w:rsidR="009B1BA8" w:rsidRPr="00124DFA" w:rsidRDefault="009B1BA8" w:rsidP="009B1BA8">
            <w:pPr>
              <w:pStyle w:val="Text"/>
              <w:ind w:firstLine="0"/>
              <w:jc w:val="center"/>
              <w:rPr>
                <w:color w:val="000000" w:themeColor="text1"/>
                <w:sz w:val="18"/>
                <w:szCs w:val="18"/>
                <w:lang w:val="es-EC"/>
              </w:rPr>
            </w:pPr>
            <w:r w:rsidRPr="00124DFA">
              <w:rPr>
                <w:color w:val="000000" w:themeColor="text1"/>
                <w:sz w:val="18"/>
                <w:szCs w:val="18"/>
                <w:lang w:val="es-EC"/>
              </w:rPr>
              <w:t>1</w:t>
            </w:r>
            <w:r>
              <w:rPr>
                <w:color w:val="000000" w:themeColor="text1"/>
                <w:sz w:val="18"/>
                <w:szCs w:val="18"/>
                <w:lang w:val="es-EC"/>
              </w:rPr>
              <w:t>.</w:t>
            </w:r>
            <w:r w:rsidRPr="00124DFA">
              <w:rPr>
                <w:color w:val="000000" w:themeColor="text1"/>
                <w:sz w:val="18"/>
                <w:szCs w:val="18"/>
                <w:lang w:val="es-EC"/>
              </w:rPr>
              <w:t>97</w:t>
            </w:r>
          </w:p>
        </w:tc>
      </w:tr>
    </w:tbl>
    <w:p w14:paraId="163DECE3" w14:textId="77777777" w:rsidR="009B1BA8" w:rsidRDefault="009B1BA8" w:rsidP="009B1BA8">
      <w:pPr>
        <w:pStyle w:val="Text"/>
        <w:rPr>
          <w:lang w:val="es-EC"/>
        </w:rPr>
      </w:pPr>
    </w:p>
    <w:p w14:paraId="0942180C" w14:textId="77777777" w:rsidR="009B1BA8" w:rsidRPr="009B1BA8" w:rsidRDefault="009B1BA8" w:rsidP="009B1BA8">
      <w:pPr>
        <w:pStyle w:val="Text"/>
        <w:rPr>
          <w:lang w:val="es-EC"/>
        </w:rPr>
      </w:pPr>
      <w:r w:rsidRPr="009B1BA8">
        <w:rPr>
          <w:lang w:val="es-EC"/>
        </w:rPr>
        <w:t xml:space="preserve">En relación con el casamiento de impedancia se debe mencionar que en este trabajo solamente se adicionó la línea de transmisión para desplazar el valor de </w:t>
      </w:r>
      <w:r w:rsidRPr="009B1BA8">
        <w:rPr>
          <w:i/>
          <w:lang w:val="es-EC"/>
        </w:rPr>
        <w:t>S</w:t>
      </w:r>
      <w:r w:rsidRPr="009B1BA8">
        <w:rPr>
          <w:vertAlign w:val="subscript"/>
          <w:lang w:val="es-EC"/>
        </w:rPr>
        <w:t>11</w:t>
      </w:r>
      <w:r w:rsidRPr="009B1BA8">
        <w:rPr>
          <w:lang w:val="es-EC"/>
        </w:rPr>
        <w:t xml:space="preserve"> a una posición que facilite el casamiento con el conector SMA (ver Fig.6a) y que en trabajos futuros se presentará el casamiento de la antena. </w:t>
      </w:r>
    </w:p>
    <w:p w14:paraId="60B58B77" w14:textId="286BBF2B" w:rsidR="009B1BA8" w:rsidRDefault="009B1BA8" w:rsidP="009B1BA8">
      <w:pPr>
        <w:pStyle w:val="Text"/>
        <w:rPr>
          <w:lang w:val="es-EC"/>
        </w:rPr>
      </w:pPr>
      <w:r w:rsidRPr="009B1BA8">
        <w:rPr>
          <w:lang w:val="es-EC"/>
        </w:rPr>
        <w:t>El valor de 1,22 dB para la RA (Fig. 6b) garantiza que la antena esté circularmente polarizada en la frecuencia L1 de GPS, i.e.</w:t>
      </w:r>
      <w:r>
        <w:rPr>
          <w:lang w:val="es-EC"/>
        </w:rPr>
        <w:t>,</w:t>
      </w:r>
      <w:r w:rsidRPr="009B1BA8">
        <w:rPr>
          <w:lang w:val="es-EC"/>
        </w:rPr>
        <w:t xml:space="preserve"> 1,575 GHz. Adicionalmente</w:t>
      </w:r>
      <w:r w:rsidR="001E481C">
        <w:rPr>
          <w:lang w:val="es-EC"/>
        </w:rPr>
        <w:t>, los diagramas de irradiación para la función directividad (Fig. 7) confirman</w:t>
      </w:r>
      <w:r w:rsidRPr="009B1BA8">
        <w:rPr>
          <w:lang w:val="es-EC"/>
        </w:rPr>
        <w:t xml:space="preserve"> esta característica. Además, comparando </w:t>
      </w:r>
      <w:r w:rsidR="001E481C">
        <w:rPr>
          <w:lang w:val="es-EC"/>
        </w:rPr>
        <w:t>los</w:t>
      </w:r>
      <w:r w:rsidRPr="009B1BA8">
        <w:rPr>
          <w:lang w:val="es-EC"/>
        </w:rPr>
        <w:t xml:space="preserve"> componentes </w:t>
      </w:r>
      <w:r w:rsidRPr="009B1BA8">
        <w:rPr>
          <w:i/>
          <w:lang w:val="es-EC"/>
        </w:rPr>
        <w:t>D</w:t>
      </w:r>
      <w:r w:rsidRPr="009B1BA8">
        <w:rPr>
          <w:rFonts w:ascii="Symbol" w:hAnsi="Symbol"/>
          <w:vertAlign w:val="subscript"/>
          <w:lang w:val="es-EC"/>
        </w:rPr>
        <w:t></w:t>
      </w:r>
      <w:r w:rsidRPr="009B1BA8">
        <w:rPr>
          <w:lang w:val="es-EC"/>
        </w:rPr>
        <w:t> (</w:t>
      </w:r>
      <w:r w:rsidRPr="009B1BA8">
        <w:rPr>
          <w:rFonts w:ascii="Symbol" w:hAnsi="Symbol"/>
          <w:lang w:val="es-EC"/>
        </w:rPr>
        <w:t></w:t>
      </w:r>
      <w:r w:rsidRPr="009B1BA8">
        <w:rPr>
          <w:lang w:val="es-EC"/>
        </w:rPr>
        <w:t>,</w:t>
      </w:r>
      <w:r>
        <w:rPr>
          <w:lang w:val="es-EC"/>
        </w:rPr>
        <w:t> </w:t>
      </w:r>
      <w:r w:rsidRPr="009B1BA8">
        <w:rPr>
          <w:rFonts w:ascii="Symbol" w:hAnsi="Symbol"/>
          <w:lang w:val="es-EC"/>
        </w:rPr>
        <w:t></w:t>
      </w:r>
      <w:r w:rsidRPr="009B1BA8">
        <w:rPr>
          <w:lang w:val="es-EC"/>
        </w:rPr>
        <w:t xml:space="preserve">) y </w:t>
      </w:r>
      <w:r w:rsidRPr="009B1BA8">
        <w:rPr>
          <w:i/>
          <w:lang w:val="es-EC"/>
        </w:rPr>
        <w:t>D</w:t>
      </w:r>
      <w:r w:rsidRPr="009B1BA8">
        <w:rPr>
          <w:rFonts w:ascii="Symbol" w:hAnsi="Symbol"/>
          <w:vertAlign w:val="subscript"/>
          <w:lang w:val="es-EC"/>
        </w:rPr>
        <w:t></w:t>
      </w:r>
      <w:r w:rsidRPr="009B1BA8">
        <w:rPr>
          <w:lang w:val="es-EC"/>
        </w:rPr>
        <w:t xml:space="preserve"> (</w:t>
      </w:r>
      <w:r w:rsidRPr="009B1BA8">
        <w:rPr>
          <w:rFonts w:ascii="Symbol" w:hAnsi="Symbol"/>
          <w:lang w:val="es-EC"/>
        </w:rPr>
        <w:t></w:t>
      </w:r>
      <w:r w:rsidRPr="009B1BA8">
        <w:rPr>
          <w:lang w:val="es-EC"/>
        </w:rPr>
        <w:t xml:space="preserve">, </w:t>
      </w:r>
      <w:r w:rsidRPr="009B1BA8">
        <w:rPr>
          <w:rFonts w:ascii="Symbol" w:hAnsi="Symbol"/>
          <w:lang w:val="es-EC"/>
        </w:rPr>
        <w:t></w:t>
      </w:r>
      <w:r w:rsidRPr="009B1BA8">
        <w:rPr>
          <w:lang w:val="es-EC"/>
        </w:rPr>
        <w:t xml:space="preserve">) se observa que la mejor RA está sobre la dirección </w:t>
      </w:r>
      <w:proofErr w:type="spellStart"/>
      <w:r w:rsidRPr="009B1BA8">
        <w:rPr>
          <w:lang w:val="es-EC"/>
        </w:rPr>
        <w:t>broadside</w:t>
      </w:r>
      <w:proofErr w:type="spellEnd"/>
      <w:r w:rsidRPr="009B1BA8">
        <w:rPr>
          <w:lang w:val="es-EC"/>
        </w:rPr>
        <w:t xml:space="preserve"> y con un ancho de lóbulo de ±30º. Se debe resaltar que, hasta este punto</w:t>
      </w:r>
      <w:r w:rsidR="001E481C">
        <w:rPr>
          <w:lang w:val="es-EC"/>
        </w:rPr>
        <w:t>,</w:t>
      </w:r>
      <w:r w:rsidRPr="009B1BA8">
        <w:rPr>
          <w:lang w:val="es-EC"/>
        </w:rPr>
        <w:t xml:space="preserve"> no se ha dicho nada con relación a la dir</w:t>
      </w:r>
      <w:r w:rsidR="00C00797">
        <w:rPr>
          <w:lang w:val="es-EC"/>
        </w:rPr>
        <w:t>ección de la polarización, i.e.,</w:t>
      </w:r>
      <w:r w:rsidRPr="009B1BA8">
        <w:rPr>
          <w:lang w:val="es-EC"/>
        </w:rPr>
        <w:t xml:space="preserve"> si es derecha o izquierda. Esta duda se verificó graficando los diagramas RHCP y LHCP en la Fig. 8.</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15"/>
      </w:tblGrid>
      <w:tr w:rsidR="009B1BA8" w:rsidRPr="00124DFA" w14:paraId="1BD3D5BE" w14:textId="77777777" w:rsidTr="00275F4D">
        <w:trPr>
          <w:trHeight w:val="131"/>
        </w:trPr>
        <w:tc>
          <w:tcPr>
            <w:tcW w:w="2515" w:type="dxa"/>
          </w:tcPr>
          <w:p w14:paraId="599AD4F2" w14:textId="77777777" w:rsidR="009B1BA8" w:rsidRPr="00124DFA" w:rsidRDefault="009B1BA8" w:rsidP="00275F4D">
            <w:pPr>
              <w:pStyle w:val="Text"/>
              <w:ind w:firstLine="0"/>
              <w:jc w:val="center"/>
              <w:rPr>
                <w:color w:val="000000" w:themeColor="text1"/>
                <w:sz w:val="16"/>
                <w:szCs w:val="16"/>
                <w:lang w:val="es-EC"/>
              </w:rPr>
            </w:pPr>
            <w:r w:rsidRPr="00124DFA">
              <w:rPr>
                <w:color w:val="000000" w:themeColor="text1"/>
              </w:rPr>
              <w:object w:dxaOrig="5925" w:dyaOrig="5565" w14:anchorId="5E6DDC1B">
                <v:shape id="_x0000_i1040" type="#_x0000_t75" style="width:120.85pt;height:112.3pt" o:ole="">
                  <v:imagedata r:id="rId46" o:title=""/>
                </v:shape>
                <o:OLEObject Type="Embed" ProgID="PBrush" ShapeID="_x0000_i1040" DrawAspect="Content" ObjectID="_1817357242" r:id="rId47"/>
              </w:object>
            </w:r>
          </w:p>
        </w:tc>
        <w:tc>
          <w:tcPr>
            <w:tcW w:w="2515" w:type="dxa"/>
          </w:tcPr>
          <w:p w14:paraId="23E824AD" w14:textId="77777777" w:rsidR="009B1BA8" w:rsidRPr="00124DFA" w:rsidRDefault="009B1BA8" w:rsidP="00275F4D">
            <w:pPr>
              <w:pStyle w:val="Text"/>
              <w:ind w:firstLine="0"/>
              <w:jc w:val="center"/>
              <w:rPr>
                <w:color w:val="000000" w:themeColor="text1"/>
                <w:sz w:val="16"/>
                <w:szCs w:val="16"/>
                <w:lang w:val="es-EC"/>
              </w:rPr>
            </w:pPr>
            <w:r w:rsidRPr="00124DFA">
              <w:rPr>
                <w:color w:val="000000" w:themeColor="text1"/>
              </w:rPr>
              <w:object w:dxaOrig="5895" w:dyaOrig="5400" w14:anchorId="37A1EA00">
                <v:shape id="_x0000_i1041" type="#_x0000_t75" style="width:120.5pt;height:110.5pt" o:ole="">
                  <v:imagedata r:id="rId48" o:title=""/>
                </v:shape>
                <o:OLEObject Type="Embed" ProgID="PBrush" ShapeID="_x0000_i1041" DrawAspect="Content" ObjectID="_1817357243" r:id="rId49"/>
              </w:object>
            </w:r>
          </w:p>
        </w:tc>
      </w:tr>
      <w:tr w:rsidR="009B1BA8" w:rsidRPr="00124DFA" w14:paraId="098D53A9" w14:textId="77777777" w:rsidTr="00275F4D">
        <w:trPr>
          <w:trHeight w:val="131"/>
        </w:trPr>
        <w:tc>
          <w:tcPr>
            <w:tcW w:w="2515" w:type="dxa"/>
          </w:tcPr>
          <w:p w14:paraId="28BBAC26" w14:textId="77777777" w:rsidR="009B1BA8" w:rsidRPr="00124DFA" w:rsidRDefault="009B1BA8" w:rsidP="00275F4D">
            <w:pPr>
              <w:pStyle w:val="Text"/>
              <w:spacing w:after="40"/>
              <w:ind w:firstLine="0"/>
              <w:jc w:val="center"/>
              <w:rPr>
                <w:color w:val="000000" w:themeColor="text1"/>
                <w:sz w:val="16"/>
                <w:szCs w:val="16"/>
                <w:lang w:val="es-EC"/>
              </w:rPr>
            </w:pPr>
            <w:r w:rsidRPr="00124DFA">
              <w:rPr>
                <w:color w:val="000000" w:themeColor="text1"/>
                <w:sz w:val="16"/>
                <w:szCs w:val="16"/>
                <w:lang w:val="es-EC"/>
              </w:rPr>
              <w:t>(a)</w:t>
            </w:r>
          </w:p>
        </w:tc>
        <w:tc>
          <w:tcPr>
            <w:tcW w:w="2515" w:type="dxa"/>
          </w:tcPr>
          <w:p w14:paraId="42C7E447" w14:textId="77777777" w:rsidR="009B1BA8" w:rsidRPr="00124DFA" w:rsidRDefault="009B1BA8" w:rsidP="00275F4D">
            <w:pPr>
              <w:pStyle w:val="Text"/>
              <w:spacing w:after="40"/>
              <w:ind w:firstLine="0"/>
              <w:jc w:val="center"/>
              <w:rPr>
                <w:color w:val="000000" w:themeColor="text1"/>
                <w:sz w:val="16"/>
                <w:szCs w:val="16"/>
                <w:lang w:val="es-EC"/>
              </w:rPr>
            </w:pPr>
            <w:r w:rsidRPr="00124DFA">
              <w:rPr>
                <w:color w:val="000000" w:themeColor="text1"/>
                <w:sz w:val="16"/>
                <w:szCs w:val="16"/>
                <w:lang w:val="es-EC"/>
              </w:rPr>
              <w:t>(b)</w:t>
            </w:r>
          </w:p>
        </w:tc>
      </w:tr>
    </w:tbl>
    <w:p w14:paraId="04AD4CF4" w14:textId="2437D501" w:rsidR="009B1BA8" w:rsidRDefault="009B1BA8" w:rsidP="009B1BA8">
      <w:pPr>
        <w:pStyle w:val="figurecaption"/>
        <w:rPr>
          <w:lang w:val="es-EC"/>
        </w:rPr>
      </w:pPr>
      <w:r w:rsidRPr="009B1BA8">
        <w:rPr>
          <w:lang w:val="es-EC"/>
        </w:rPr>
        <w:t>Diagramas de la función directividad en la frecuencia de 1</w:t>
      </w:r>
      <w:r>
        <w:rPr>
          <w:lang w:val="es-EC"/>
        </w:rPr>
        <w:t>.</w:t>
      </w:r>
      <w:r w:rsidRPr="009B1BA8">
        <w:rPr>
          <w:lang w:val="es-EC"/>
        </w:rPr>
        <w:t xml:space="preserve">575 GHz. Las características en los planos </w:t>
      </w:r>
      <w:r w:rsidRPr="009B1BA8">
        <w:rPr>
          <w:i/>
          <w:lang w:val="es-EC"/>
        </w:rPr>
        <w:t>xz</w:t>
      </w:r>
      <w:r w:rsidRPr="009B1BA8">
        <w:rPr>
          <w:lang w:val="es-EC"/>
        </w:rPr>
        <w:t xml:space="preserve"> y </w:t>
      </w:r>
      <w:r w:rsidRPr="009B1BA8">
        <w:rPr>
          <w:i/>
          <w:lang w:val="es-EC"/>
        </w:rPr>
        <w:t>yz</w:t>
      </w:r>
      <w:r w:rsidRPr="009B1BA8">
        <w:rPr>
          <w:lang w:val="es-EC"/>
        </w:rPr>
        <w:t xml:space="preserve"> se muestran en los gráficos (a) y (b), respectivamente. La línea roja describe el comportamiento de la componente </w:t>
      </w:r>
      <w:r w:rsidRPr="009B1BA8">
        <w:rPr>
          <w:i/>
          <w:lang w:val="es-EC"/>
        </w:rPr>
        <w:t>D</w:t>
      </w:r>
      <w:r w:rsidRPr="009B1BA8">
        <w:rPr>
          <w:rFonts w:ascii="Symbol" w:hAnsi="Symbol"/>
          <w:vertAlign w:val="subscript"/>
          <w:lang w:val="es-EC"/>
        </w:rPr>
        <w:t></w:t>
      </w:r>
      <w:r w:rsidRPr="009B1BA8">
        <w:rPr>
          <w:lang w:val="es-EC"/>
        </w:rPr>
        <w:t xml:space="preserve"> y la línea verde la componente </w:t>
      </w:r>
      <w:r w:rsidRPr="009B1BA8">
        <w:rPr>
          <w:i/>
          <w:lang w:val="es-EC"/>
        </w:rPr>
        <w:t>D</w:t>
      </w:r>
      <w:r w:rsidRPr="009B1BA8">
        <w:rPr>
          <w:rFonts w:ascii="Symbol" w:hAnsi="Symbol"/>
          <w:vertAlign w:val="subscript"/>
          <w:lang w:val="es-EC"/>
        </w:rPr>
        <w:t></w:t>
      </w:r>
      <w:r w:rsidRPr="0001468B">
        <w:rPr>
          <w:lang w:val="es-EC"/>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5"/>
        <w:gridCol w:w="2515"/>
      </w:tblGrid>
      <w:tr w:rsidR="009B1BA8" w:rsidRPr="00124DFA" w14:paraId="454C091D" w14:textId="77777777" w:rsidTr="00275F4D">
        <w:trPr>
          <w:trHeight w:val="131"/>
        </w:trPr>
        <w:tc>
          <w:tcPr>
            <w:tcW w:w="2515" w:type="dxa"/>
          </w:tcPr>
          <w:p w14:paraId="1D96F96E" w14:textId="77777777" w:rsidR="009B1BA8" w:rsidRPr="00124DFA" w:rsidRDefault="009B1BA8" w:rsidP="00275F4D">
            <w:pPr>
              <w:pStyle w:val="Text"/>
              <w:ind w:firstLine="0"/>
              <w:jc w:val="center"/>
              <w:rPr>
                <w:color w:val="000000" w:themeColor="text1"/>
                <w:sz w:val="16"/>
                <w:szCs w:val="16"/>
                <w:lang w:val="es-EC"/>
              </w:rPr>
            </w:pPr>
            <w:r w:rsidRPr="00124DFA">
              <w:rPr>
                <w:color w:val="000000" w:themeColor="text1"/>
              </w:rPr>
              <w:object w:dxaOrig="6180" w:dyaOrig="5760" w14:anchorId="642B88C9">
                <v:shape id="_x0000_i1042" type="#_x0000_t75" style="width:115.85pt;height:107.3pt" o:ole="">
                  <v:imagedata r:id="rId50" o:title=""/>
                </v:shape>
                <o:OLEObject Type="Embed" ProgID="PBrush" ShapeID="_x0000_i1042" DrawAspect="Content" ObjectID="_1817357244" r:id="rId51"/>
              </w:object>
            </w:r>
          </w:p>
        </w:tc>
        <w:tc>
          <w:tcPr>
            <w:tcW w:w="2515" w:type="dxa"/>
          </w:tcPr>
          <w:p w14:paraId="43EBBA04" w14:textId="77777777" w:rsidR="009B1BA8" w:rsidRPr="00124DFA" w:rsidRDefault="009B1BA8" w:rsidP="00275F4D">
            <w:pPr>
              <w:pStyle w:val="Text"/>
              <w:ind w:firstLine="0"/>
              <w:jc w:val="center"/>
              <w:rPr>
                <w:color w:val="000000" w:themeColor="text1"/>
                <w:sz w:val="16"/>
                <w:szCs w:val="16"/>
                <w:lang w:val="es-EC"/>
              </w:rPr>
            </w:pPr>
            <w:r w:rsidRPr="00124DFA">
              <w:rPr>
                <w:color w:val="000000" w:themeColor="text1"/>
              </w:rPr>
              <w:object w:dxaOrig="6090" w:dyaOrig="5700" w14:anchorId="752B6A39">
                <v:shape id="_x0000_i1043" type="#_x0000_t75" style="width:114.4pt;height:106.95pt" o:ole="">
                  <v:imagedata r:id="rId52" o:title=""/>
                </v:shape>
                <o:OLEObject Type="Embed" ProgID="PBrush" ShapeID="_x0000_i1043" DrawAspect="Content" ObjectID="_1817357245" r:id="rId53"/>
              </w:object>
            </w:r>
          </w:p>
        </w:tc>
      </w:tr>
      <w:tr w:rsidR="009B1BA8" w:rsidRPr="00124DFA" w14:paraId="1DD0E869" w14:textId="77777777" w:rsidTr="00275F4D">
        <w:trPr>
          <w:trHeight w:val="131"/>
        </w:trPr>
        <w:tc>
          <w:tcPr>
            <w:tcW w:w="2515" w:type="dxa"/>
          </w:tcPr>
          <w:p w14:paraId="11067953" w14:textId="77777777" w:rsidR="009B1BA8" w:rsidRPr="00124DFA" w:rsidRDefault="009B1BA8" w:rsidP="00275F4D">
            <w:pPr>
              <w:pStyle w:val="Text"/>
              <w:spacing w:after="40"/>
              <w:ind w:firstLine="0"/>
              <w:jc w:val="center"/>
              <w:rPr>
                <w:color w:val="000000" w:themeColor="text1"/>
                <w:sz w:val="16"/>
                <w:szCs w:val="16"/>
                <w:lang w:val="es-EC"/>
              </w:rPr>
            </w:pPr>
            <w:r w:rsidRPr="00124DFA">
              <w:rPr>
                <w:color w:val="000000" w:themeColor="text1"/>
                <w:sz w:val="16"/>
                <w:szCs w:val="16"/>
                <w:lang w:val="es-EC"/>
              </w:rPr>
              <w:t>(a)</w:t>
            </w:r>
          </w:p>
        </w:tc>
        <w:tc>
          <w:tcPr>
            <w:tcW w:w="2515" w:type="dxa"/>
          </w:tcPr>
          <w:p w14:paraId="40692C2F" w14:textId="77777777" w:rsidR="009B1BA8" w:rsidRPr="00124DFA" w:rsidRDefault="009B1BA8" w:rsidP="00275F4D">
            <w:pPr>
              <w:pStyle w:val="Text"/>
              <w:spacing w:after="40"/>
              <w:ind w:firstLine="0"/>
              <w:jc w:val="center"/>
              <w:rPr>
                <w:color w:val="000000" w:themeColor="text1"/>
                <w:sz w:val="16"/>
                <w:szCs w:val="16"/>
                <w:lang w:val="es-EC"/>
              </w:rPr>
            </w:pPr>
            <w:r w:rsidRPr="00124DFA">
              <w:rPr>
                <w:color w:val="000000" w:themeColor="text1"/>
                <w:sz w:val="16"/>
                <w:szCs w:val="16"/>
                <w:lang w:val="es-EC"/>
              </w:rPr>
              <w:t>(b)</w:t>
            </w:r>
          </w:p>
        </w:tc>
      </w:tr>
    </w:tbl>
    <w:p w14:paraId="04624E2A" w14:textId="15CDCE56" w:rsidR="009B1BA8" w:rsidRPr="0001468B" w:rsidRDefault="009B1BA8" w:rsidP="009B1BA8">
      <w:pPr>
        <w:pStyle w:val="figurecaption"/>
        <w:rPr>
          <w:lang w:val="es-EC"/>
        </w:rPr>
      </w:pPr>
      <w:r w:rsidRPr="009B1BA8">
        <w:rPr>
          <w:lang w:val="es-EC"/>
        </w:rPr>
        <w:t>Diagramas de la función directividad asociadas la polarización circular a la derecha RHCP, en verde, y a la polarización circular a izquierda LHCP, en rojo, en la frecuencia de 1</w:t>
      </w:r>
      <w:r>
        <w:rPr>
          <w:lang w:val="es-EC"/>
        </w:rPr>
        <w:t>.</w:t>
      </w:r>
      <w:r w:rsidRPr="009B1BA8">
        <w:rPr>
          <w:lang w:val="es-EC"/>
        </w:rPr>
        <w:t xml:space="preserve">575 GHz. Los gráficos (a) y (b) </w:t>
      </w:r>
      <w:r w:rsidR="001E481C">
        <w:rPr>
          <w:lang w:val="es-EC"/>
        </w:rPr>
        <w:t>presentan</w:t>
      </w:r>
      <w:r w:rsidRPr="009B1BA8">
        <w:rPr>
          <w:lang w:val="es-EC"/>
        </w:rPr>
        <w:t xml:space="preserve"> el comportamiento en los planos </w:t>
      </w:r>
      <w:r w:rsidRPr="009B1BA8">
        <w:rPr>
          <w:i/>
          <w:lang w:val="es-EC"/>
        </w:rPr>
        <w:t>xz</w:t>
      </w:r>
      <w:r w:rsidRPr="009B1BA8">
        <w:rPr>
          <w:lang w:val="es-EC"/>
        </w:rPr>
        <w:t xml:space="preserve"> y </w:t>
      </w:r>
      <w:r w:rsidRPr="009B1BA8">
        <w:rPr>
          <w:i/>
          <w:lang w:val="es-EC"/>
        </w:rPr>
        <w:t>yz</w:t>
      </w:r>
      <w:r w:rsidRPr="009B1BA8">
        <w:rPr>
          <w:lang w:val="es-EC"/>
        </w:rPr>
        <w:t>, respectivamente</w:t>
      </w:r>
      <w:r w:rsidRPr="0001468B">
        <w:rPr>
          <w:lang w:val="es-EC"/>
        </w:rPr>
        <w:t>.</w:t>
      </w:r>
    </w:p>
    <w:p w14:paraId="5A4F9C95" w14:textId="05BA2E9A" w:rsidR="009B1BA8" w:rsidRPr="009B1BA8" w:rsidRDefault="009B1BA8" w:rsidP="009B1BA8">
      <w:pPr>
        <w:pStyle w:val="Text"/>
        <w:rPr>
          <w:lang w:val="es-EC"/>
        </w:rPr>
      </w:pPr>
      <w:r w:rsidRPr="009B1BA8">
        <w:rPr>
          <w:lang w:val="es-EC"/>
        </w:rPr>
        <w:t xml:space="preserve">Los gráficos en verde de la Fig. 8 representa la función directividad </w:t>
      </w:r>
      <w:proofErr w:type="gramStart"/>
      <w:r w:rsidRPr="009B1BA8">
        <w:rPr>
          <w:i/>
          <w:lang w:val="es-EC"/>
        </w:rPr>
        <w:t>D</w:t>
      </w:r>
      <w:r w:rsidRPr="009B1BA8">
        <w:rPr>
          <w:lang w:val="es-EC"/>
        </w:rPr>
        <w:t>(</w:t>
      </w:r>
      <w:proofErr w:type="gramEnd"/>
      <w:r w:rsidRPr="009B1BA8">
        <w:rPr>
          <w:rFonts w:ascii="Symbol" w:hAnsi="Symbol"/>
          <w:lang w:val="es-EC"/>
        </w:rPr>
        <w:t></w:t>
      </w:r>
      <w:r w:rsidRPr="009B1BA8">
        <w:rPr>
          <w:lang w:val="es-EC"/>
        </w:rPr>
        <w:t xml:space="preserve">, </w:t>
      </w:r>
      <w:r w:rsidRPr="009B1BA8">
        <w:rPr>
          <w:rFonts w:ascii="Symbol" w:hAnsi="Symbol"/>
          <w:lang w:val="es-EC"/>
        </w:rPr>
        <w:t></w:t>
      </w:r>
      <w:r w:rsidRPr="009B1BA8">
        <w:rPr>
          <w:lang w:val="es-EC"/>
        </w:rPr>
        <w:t xml:space="preserve">) obtenida solamente para la polarización RHCP, en cuanto que los gráficos en rojo corresponden a la polarización LHCP. Por lo tanto, la antena diseñada presenta una polarización RHCP en la dirección </w:t>
      </w:r>
      <w:proofErr w:type="spellStart"/>
      <w:r w:rsidRPr="009B1BA8">
        <w:rPr>
          <w:lang w:val="es-EC"/>
        </w:rPr>
        <w:t>broadside</w:t>
      </w:r>
      <w:proofErr w:type="spellEnd"/>
      <w:r w:rsidRPr="009B1BA8">
        <w:rPr>
          <w:lang w:val="es-EC"/>
        </w:rPr>
        <w:t xml:space="preserve">, cumpliendo con </w:t>
      </w:r>
      <w:r w:rsidR="001E481C">
        <w:rPr>
          <w:lang w:val="es-EC"/>
        </w:rPr>
        <w:t>las especificaciones</w:t>
      </w:r>
      <w:r w:rsidRPr="009B1BA8">
        <w:rPr>
          <w:lang w:val="es-EC"/>
        </w:rPr>
        <w:t xml:space="preserve"> iniciales del proyecto.   </w:t>
      </w:r>
    </w:p>
    <w:p w14:paraId="3B36F2C5" w14:textId="19AD2E97" w:rsidR="009B1BA8" w:rsidRPr="009B1BA8" w:rsidRDefault="009B1BA8" w:rsidP="009B1BA8">
      <w:pPr>
        <w:pStyle w:val="Ttulo1"/>
        <w:rPr>
          <w:lang w:val="es-EC"/>
        </w:rPr>
      </w:pPr>
      <w:r w:rsidRPr="009B1BA8">
        <w:rPr>
          <w:lang w:val="es-EC"/>
        </w:rPr>
        <w:t>Conclusiones</w:t>
      </w:r>
    </w:p>
    <w:p w14:paraId="2FB44D9E" w14:textId="090D0977" w:rsidR="009B1BA8" w:rsidRDefault="009B1BA8" w:rsidP="009B1BA8">
      <w:pPr>
        <w:pStyle w:val="Text"/>
        <w:rPr>
          <w:lang w:val="es-EC"/>
        </w:rPr>
      </w:pPr>
      <w:r w:rsidRPr="009B1BA8">
        <w:rPr>
          <w:lang w:val="es-EC"/>
        </w:rPr>
        <w:t xml:space="preserve">El diseño, simulación y la guía de optimización de antenas de microcinta, circularmente </w:t>
      </w:r>
      <w:r w:rsidR="001E481C">
        <w:rPr>
          <w:lang w:val="es-EC"/>
        </w:rPr>
        <w:t xml:space="preserve">polarizadas RHCP, que trabajan en la banda </w:t>
      </w:r>
      <w:r w:rsidR="001E481C" w:rsidRPr="001E481C">
        <w:rPr>
          <w:i/>
          <w:lang w:val="es-EC"/>
        </w:rPr>
        <w:t>L</w:t>
      </w:r>
      <w:r w:rsidR="001E481C" w:rsidRPr="001E481C">
        <w:rPr>
          <w:vertAlign w:val="subscript"/>
          <w:lang w:val="es-EC"/>
        </w:rPr>
        <w:t>1</w:t>
      </w:r>
      <w:r w:rsidR="001E481C">
        <w:rPr>
          <w:lang w:val="es-EC"/>
        </w:rPr>
        <w:t xml:space="preserve"> del sistema GPS, con el auxilio del software HFSS, se mostraron eficaces</w:t>
      </w:r>
      <w:r w:rsidRPr="009B1BA8">
        <w:rPr>
          <w:lang w:val="es-EC"/>
        </w:rPr>
        <w:t xml:space="preserve"> para alcanzar las especificaciones iniciales del proyecto propuesto. La razón axial RA de 1</w:t>
      </w:r>
      <w:r>
        <w:rPr>
          <w:lang w:val="es-EC"/>
        </w:rPr>
        <w:t>.</w:t>
      </w:r>
      <w:r w:rsidRPr="009B1BA8">
        <w:rPr>
          <w:lang w:val="es-EC"/>
        </w:rPr>
        <w:t xml:space="preserve">22 dB en la dirección </w:t>
      </w:r>
      <w:proofErr w:type="spellStart"/>
      <w:r w:rsidRPr="009B1BA8">
        <w:rPr>
          <w:lang w:val="es-EC"/>
        </w:rPr>
        <w:t>broadside</w:t>
      </w:r>
      <w:proofErr w:type="spellEnd"/>
      <w:r w:rsidRPr="009B1BA8">
        <w:rPr>
          <w:lang w:val="es-EC"/>
        </w:rPr>
        <w:t>, su ancho de banda de la RA de 15 MHz y los diagramas de irradiación que muestran una directividad de 5</w:t>
      </w:r>
      <w:r>
        <w:rPr>
          <w:lang w:val="es-EC"/>
        </w:rPr>
        <w:t>.</w:t>
      </w:r>
      <w:r w:rsidRPr="009B1BA8">
        <w:rPr>
          <w:lang w:val="es-EC"/>
        </w:rPr>
        <w:t xml:space="preserve">14 dB en esta misma dirección permiten deslumbrar un adecuado funcionamiento para esta aplicación. Como mencionado en la </w:t>
      </w:r>
      <w:r w:rsidR="00C00797">
        <w:rPr>
          <w:lang w:val="es-EC"/>
        </w:rPr>
        <w:t>S</w:t>
      </w:r>
      <w:r w:rsidRPr="009B1BA8">
        <w:rPr>
          <w:lang w:val="es-EC"/>
        </w:rPr>
        <w:t>ección IV, futuramente se presentará el procedimiento para el casamiento de impedancia y, adicionalmente, las medidas de los diagramas de irradiación, las pérdidas de retorno, así como, la comparación con sus correspondientes valores simulados con el HFSS.</w:t>
      </w:r>
    </w:p>
    <w:p w14:paraId="1A61269B" w14:textId="503B34CA" w:rsidR="00E97402" w:rsidRPr="0097337F" w:rsidRDefault="007E0794" w:rsidP="007A7A80">
      <w:pPr>
        <w:pStyle w:val="Ttulo1"/>
        <w:numPr>
          <w:ilvl w:val="0"/>
          <w:numId w:val="0"/>
        </w:numPr>
      </w:pPr>
      <w:r w:rsidRPr="00807771">
        <w:rPr>
          <w:lang w:val="es-EC"/>
        </w:rPr>
        <w:lastRenderedPageBreak/>
        <w:tab/>
      </w:r>
      <w:proofErr w:type="spellStart"/>
      <w:r w:rsidR="002730E8" w:rsidRPr="0097337F">
        <w:t>Referenc</w:t>
      </w:r>
      <w:r w:rsidR="009B1BA8">
        <w:t>ias</w:t>
      </w:r>
      <w:proofErr w:type="spellEnd"/>
    </w:p>
    <w:p w14:paraId="4D679E42" w14:textId="77777777" w:rsidR="009B1BA8" w:rsidRDefault="009B1BA8" w:rsidP="009B1BA8">
      <w:pPr>
        <w:pStyle w:val="references0"/>
      </w:pPr>
      <w:r>
        <w:t>A. Cratere, L. Gagliardi, G. A. Sanca, F. Golmar, y F. Dell’Olio, “On-Board Computer for CubeSats: State-of-the-Art and Future Trends”, IEEE Access, vol. 12, pp. 99537–99569, 2024, doi: 10.1109/ACCESS.2024.3428388.</w:t>
      </w:r>
    </w:p>
    <w:p w14:paraId="1B2F3354" w14:textId="281E2717" w:rsidR="009B1BA8" w:rsidRDefault="009B1BA8" w:rsidP="009B1BA8">
      <w:pPr>
        <w:pStyle w:val="references0"/>
      </w:pPr>
      <w:r>
        <w:t>J. P. Tovar Soto, C. F. Pareja Figueredo, J. S. Vargas Cañón, y L. C. Gutiérrez Martínez, “A review of the current state of Pico and Nanosatellites: some applications in Latin America and other regions of the world”, GRAINE. Boletín de Investigaciones., vol. 2, no 1, pp. 13–30, sep. 2020, doi: 10.52408/gbdivol2iss1pp13-30.</w:t>
      </w:r>
    </w:p>
    <w:p w14:paraId="7CD0DFD3" w14:textId="0B5F00A9" w:rsidR="009B1BA8" w:rsidRDefault="009B1BA8" w:rsidP="009B1BA8">
      <w:pPr>
        <w:pStyle w:val="references0"/>
      </w:pPr>
      <w:r>
        <w:t>A. Zeedan y T. Khattab, “CubeSat Communication Subsystems: A Review of On-Board Transceiver Architectures, Protocols, and Performance”, IEEE Access, vol. 11, pp. 88161–88183, 2023, doi: 10.1109/ACCESS.2023.3304419.</w:t>
      </w:r>
    </w:p>
    <w:p w14:paraId="74279856" w14:textId="4D7D16D2" w:rsidR="009B1BA8" w:rsidRDefault="009B1BA8" w:rsidP="009B1BA8">
      <w:pPr>
        <w:pStyle w:val="references0"/>
      </w:pPr>
      <w:r>
        <w:t>S. Malisuwan y B. Kanchanarat, “Small Satellites for Low-Cost Space Access: Launch, Deployment, Integration, and In-Space Logistics”, American Journal of Industrial and Business Management, vol. 12, no 10, pp. 1480–1497, 2022, doi: 10.4236/ajibm.2022.1210082.</w:t>
      </w:r>
    </w:p>
    <w:p w14:paraId="2E0C10A8" w14:textId="727AA95E" w:rsidR="009B1BA8" w:rsidRDefault="009B1BA8" w:rsidP="009B1BA8">
      <w:pPr>
        <w:pStyle w:val="references0"/>
      </w:pPr>
      <w:r>
        <w:t>K. S. Low, M. S. C. Tissera, y J. W. Chia, “In-orbit results of VELOX-II nanosatellite”, en 2016 IEEE Region 10 Conference (TENCON), IEEE, nov. 2016, pp. 3658–3663. doi: 10.1109/TENCON.2016.7848740.</w:t>
      </w:r>
    </w:p>
    <w:p w14:paraId="1FE7C8C9" w14:textId="47F752DB" w:rsidR="009B1BA8" w:rsidRDefault="009B1BA8" w:rsidP="009B1BA8">
      <w:pPr>
        <w:pStyle w:val="references0"/>
      </w:pPr>
      <w:r>
        <w:t>S. A. Ali Shah y U. Arshad, “General system design of Cubesat in LEO for IR imaging”, en 2013 International Conference on Aerospace Science &amp; Engineering (ICASE), IEEE, ago. 2013, pp. 1–5. doi: 10.1109/ICASE.2013.6785552.</w:t>
      </w:r>
    </w:p>
    <w:p w14:paraId="1A0E9300" w14:textId="00C82446" w:rsidR="009B1BA8" w:rsidRDefault="009B1BA8" w:rsidP="009B1BA8">
      <w:pPr>
        <w:pStyle w:val="references0"/>
      </w:pPr>
      <w:r>
        <w:t>J. Li, M. Post, T. Wright, y R. Lee, “Design of Attitude Control Systems for CubeSat-Class Nanosatellite”, Journal of Control Science and Engineering, vol. 2013, pp. 1–15, 2013, doi: 10.1155/2013/657182.</w:t>
      </w:r>
    </w:p>
    <w:p w14:paraId="3C2A2185" w14:textId="0B6E1387" w:rsidR="009B1BA8" w:rsidRDefault="009B1BA8" w:rsidP="009B1BA8">
      <w:pPr>
        <w:pStyle w:val="references0"/>
      </w:pPr>
      <w:r>
        <w:t>N. Nadarajah, P. J. G. Teunissen, y P. J. Buist, “Attitude determination of LEO satellites using an array of GNSS sensors”, en 2012 15th International Conference on Information Fusion, Singapore: IEEE, jul. 2012, pp. 1066–1072.</w:t>
      </w:r>
    </w:p>
    <w:p w14:paraId="3754BFD6" w14:textId="51795962" w:rsidR="009B1BA8" w:rsidRDefault="009B1BA8" w:rsidP="009B1BA8">
      <w:pPr>
        <w:pStyle w:val="references0"/>
      </w:pPr>
      <w:r>
        <w:t>Ansoft Corporation, User’s guide – High Frequency Structure Simulator. Pittsburgh, PA: Ansoft Corporation, 2005.</w:t>
      </w:r>
    </w:p>
    <w:p w14:paraId="49504A63" w14:textId="77F2C8ED" w:rsidR="009B1BA8" w:rsidRDefault="009B1BA8" w:rsidP="009B1BA8">
      <w:pPr>
        <w:pStyle w:val="references0"/>
      </w:pPr>
      <w:r>
        <w:t>Rogers Corporation, “TMM® 10i Laminates”, https://www.rogerscorp.com/advanced-electronics-solutions/ tmm-laminates/tmm-10i-laminates.</w:t>
      </w:r>
    </w:p>
    <w:p w14:paraId="2842830B" w14:textId="54C33E69" w:rsidR="009B1BA8" w:rsidRDefault="009B1BA8" w:rsidP="009B1BA8">
      <w:pPr>
        <w:pStyle w:val="references0"/>
      </w:pPr>
      <w:r>
        <w:t>J. R. James y P. S. Hall, Handbook of Microstrip Antennas, 2a ed. London - UK: Peter Peregrinus Ltd., 1989.</w:t>
      </w:r>
    </w:p>
    <w:p w14:paraId="1AAA16FD" w14:textId="1189DCB3" w:rsidR="009B1BA8" w:rsidRDefault="009B1BA8" w:rsidP="009B1BA8">
      <w:pPr>
        <w:pStyle w:val="references0"/>
      </w:pPr>
      <w:r>
        <w:t>W. Richards, Yuen Lo, y D. Harrison, “An improved theory for microstrip antennas and applications”, IEEE Trans Antennas Propag, vol. 29, no 1, pp. 38–46, ene. 1981, doi: 10.1109/TAP.1981.1142524.</w:t>
      </w:r>
    </w:p>
    <w:p w14:paraId="0A40A129" w14:textId="7D726FA9" w:rsidR="009B1BA8" w:rsidRDefault="009B1BA8" w:rsidP="009B1BA8">
      <w:pPr>
        <w:pStyle w:val="references0"/>
      </w:pPr>
      <w:r>
        <w:t>R. Bancroft, Microstrip and printed antenna design, 2th ed. Raleigh, NC: SciTech publishing Inc., 2009.</w:t>
      </w:r>
    </w:p>
    <w:p w14:paraId="6C734CAD" w14:textId="2ACB18B4" w:rsidR="009B1BA8" w:rsidRDefault="009B1BA8" w:rsidP="009B1BA8">
      <w:pPr>
        <w:pStyle w:val="references0"/>
      </w:pPr>
      <w:r>
        <w:t>D. Chagas y J. C. da S. Lacav, “Design of Low-Cost Probe-Fed Microstrip Antennas”, en Microstrip Antennas, InTech, 2011. doi: 10.5772/14523.</w:t>
      </w:r>
    </w:p>
    <w:p w14:paraId="0F406E90" w14:textId="18CC60E1" w:rsidR="009B1BA8" w:rsidRPr="009B1BA8" w:rsidRDefault="009B1BA8" w:rsidP="009B1BA8">
      <w:pPr>
        <w:pStyle w:val="references0"/>
      </w:pPr>
      <w:r>
        <w:t>A. F. Tinoco S, D. C. Nascimento, y J. C. da S. Lacava, “Rectangular microstrip antenna design suitable for undergraduate courses”, en 2008 IEEE Antennas and Propagation Society International Symposium, IEEE, jul. 2008, pp. 1–4. doi: 10.1109/APS.2008.4619275.</w:t>
      </w:r>
    </w:p>
    <w:sectPr w:rsidR="009B1BA8" w:rsidRPr="009B1BA8" w:rsidSect="003400D7">
      <w:footerReference w:type="default" r:id="rId54"/>
      <w:headerReference w:type="first" r:id="rId55"/>
      <w:footerReference w:type="first" r:id="rId56"/>
      <w:type w:val="continuous"/>
      <w:pgSz w:w="12240" w:h="15840" w:code="1"/>
      <w:pgMar w:top="1008" w:right="936" w:bottom="1008" w:left="936" w:header="284" w:footer="121" w:gutter="0"/>
      <w:pgNumType w:start="41"/>
      <w:cols w:num="2" w:space="28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6EF49" w14:textId="77777777" w:rsidR="00F3027D" w:rsidRDefault="00F3027D">
      <w:r>
        <w:separator/>
      </w:r>
    </w:p>
  </w:endnote>
  <w:endnote w:type="continuationSeparator" w:id="0">
    <w:p w14:paraId="7654C66C" w14:textId="77777777" w:rsidR="00F3027D" w:rsidRDefault="00F30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auto"/>
    <w:pitch w:val="variable"/>
    <w:sig w:usb0="80000067" w:usb1="00000000" w:usb2="00000000" w:usb3="00000000" w:csb0="0000019F" w:csb1="00000000"/>
  </w:font>
  <w:font w:name="Formata-Regular">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384539"/>
      <w:docPartObj>
        <w:docPartGallery w:val="Page Numbers (Bottom of Page)"/>
        <w:docPartUnique/>
      </w:docPartObj>
    </w:sdtPr>
    <w:sdtEndPr/>
    <w:sdtContent>
      <w:p w14:paraId="19823E7C" w14:textId="77777777" w:rsidR="00E63FDF" w:rsidRDefault="00E63FDF" w:rsidP="003B5A05">
        <w:pPr>
          <w:pStyle w:val="Piedepgina"/>
        </w:pPr>
        <w:r>
          <w:fldChar w:fldCharType="begin"/>
        </w:r>
        <w:r>
          <w:instrText>PAGE   \* MERGEFORMAT</w:instrText>
        </w:r>
        <w:r>
          <w:fldChar w:fldCharType="separate"/>
        </w:r>
        <w:r w:rsidR="003400D7">
          <w:rPr>
            <w:noProof/>
          </w:rPr>
          <w:t>42</w:t>
        </w:r>
        <w:r>
          <w:fldChar w:fldCharType="end"/>
        </w:r>
        <w:r>
          <w:tab/>
        </w:r>
        <w:r>
          <w:tab/>
        </w:r>
        <w:r>
          <w:tab/>
        </w:r>
        <w:r>
          <w:tab/>
        </w:r>
        <w:r>
          <w:tab/>
        </w:r>
        <w:r>
          <w:tab/>
        </w:r>
        <w:r>
          <w:tab/>
          <w:t>MASKAY</w:t>
        </w:r>
      </w:p>
    </w:sdtContent>
  </w:sdt>
  <w:p w14:paraId="34A3E381" w14:textId="77777777" w:rsidR="00E63FDF" w:rsidRDefault="00E63F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F21E74" w14:textId="29ED757C" w:rsidR="00E63FDF" w:rsidRDefault="00E63FDF" w:rsidP="003B5A05">
    <w:pPr>
      <w:pStyle w:val="Piedepgina"/>
    </w:pPr>
    <w:r>
      <w:rPr>
        <w:lang w:val="es-EC"/>
      </w:rPr>
      <w:t xml:space="preserve">DOI: </w:t>
    </w:r>
    <w:r w:rsidRPr="009B6610">
      <w:rPr>
        <w:lang w:val="es-EC"/>
      </w:rPr>
      <w:t>10.24133/maskay.v</w:t>
    </w:r>
    <w:r>
      <w:rPr>
        <w:lang w:val="es-EC"/>
      </w:rPr>
      <w:t>16</w:t>
    </w:r>
    <w:r w:rsidRPr="009B6610">
      <w:rPr>
        <w:lang w:val="es-EC"/>
      </w:rPr>
      <w:t>i</w:t>
    </w:r>
    <w:r>
      <w:rPr>
        <w:lang w:val="es-EC"/>
      </w:rPr>
      <w:t>1</w:t>
    </w:r>
    <w:r w:rsidRPr="009B6610">
      <w:rPr>
        <w:lang w:val="es-EC"/>
      </w:rPr>
      <w:t>.</w:t>
    </w:r>
    <w:r>
      <w:rPr>
        <w:lang w:val="es-EC"/>
      </w:rPr>
      <w:t>4151</w:t>
    </w:r>
  </w:p>
  <w:p w14:paraId="788704E8" w14:textId="77777777" w:rsidR="00E63FDF" w:rsidRDefault="00F3027D" w:rsidP="003B5A05">
    <w:pPr>
      <w:pStyle w:val="Piedepgina"/>
    </w:pPr>
    <w:sdt>
      <w:sdtPr>
        <w:id w:val="-620535373"/>
        <w:docPartObj>
          <w:docPartGallery w:val="Page Numbers (Bottom of Page)"/>
          <w:docPartUnique/>
        </w:docPartObj>
      </w:sdtPr>
      <w:sdtEndPr/>
      <w:sdtContent>
        <w:r w:rsidR="00E63FDF">
          <w:fldChar w:fldCharType="begin"/>
        </w:r>
        <w:r w:rsidR="00E63FDF">
          <w:instrText>PAGE   \* MERGEFORMAT</w:instrText>
        </w:r>
        <w:r w:rsidR="00E63FDF">
          <w:fldChar w:fldCharType="separate"/>
        </w:r>
        <w:r w:rsidR="003400D7" w:rsidRPr="003400D7">
          <w:rPr>
            <w:noProof/>
            <w:lang w:val="es-ES"/>
          </w:rPr>
          <w:t>41</w:t>
        </w:r>
        <w:r w:rsidR="00E63FDF">
          <w:fldChar w:fldCharType="end"/>
        </w:r>
        <w:r w:rsidR="00E63FDF">
          <w:tab/>
        </w:r>
        <w:r w:rsidR="00E63FDF">
          <w:tab/>
        </w:r>
        <w:r w:rsidR="00E63FDF">
          <w:tab/>
        </w:r>
        <w:r w:rsidR="00E63FDF">
          <w:tab/>
        </w:r>
        <w:r w:rsidR="00E63FDF">
          <w:tab/>
        </w:r>
        <w:r w:rsidR="00E63FDF">
          <w:tab/>
        </w:r>
        <w:r w:rsidR="00E63FDF">
          <w:tab/>
          <w:t>MASKAY</w:t>
        </w:r>
      </w:sdtContent>
    </w:sdt>
  </w:p>
  <w:p w14:paraId="6ED41E08" w14:textId="77777777" w:rsidR="00E63FDF" w:rsidRPr="009B6610" w:rsidRDefault="00E63FDF">
    <w:pPr>
      <w:pStyle w:val="Piedepgina"/>
      <w:rPr>
        <w:lang w:val="es-EC"/>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E8746F" w14:textId="77777777" w:rsidR="00F3027D" w:rsidRDefault="00F3027D"/>
  </w:footnote>
  <w:footnote w:type="continuationSeparator" w:id="0">
    <w:p w14:paraId="1A0B0E72" w14:textId="77777777" w:rsidR="00F3027D" w:rsidRDefault="00F3027D">
      <w:r>
        <w:continuationSeparator/>
      </w:r>
    </w:p>
  </w:footnote>
  <w:footnote w:id="1">
    <w:p w14:paraId="180C3264" w14:textId="4E1C3E74" w:rsidR="00E63FDF" w:rsidRPr="00D010B7" w:rsidRDefault="00E63FDF" w:rsidP="00D010B7">
      <w:pPr>
        <w:spacing w:line="230" w:lineRule="auto"/>
        <w:ind w:left="113" w:right="40" w:firstLine="159"/>
        <w:jc w:val="both"/>
        <w:rPr>
          <w:sz w:val="16"/>
        </w:rPr>
      </w:pPr>
      <w:r w:rsidRPr="00D010B7">
        <w:rPr>
          <w:sz w:val="16"/>
        </w:rPr>
        <w:t xml:space="preserve">C.S. Franco, W. Fontella, M.V.T. </w:t>
      </w:r>
      <w:proofErr w:type="spellStart"/>
      <w:r w:rsidRPr="00D010B7">
        <w:rPr>
          <w:sz w:val="16"/>
        </w:rPr>
        <w:t>Hekler</w:t>
      </w:r>
      <w:proofErr w:type="spellEnd"/>
      <w:r w:rsidRPr="00D010B7">
        <w:rPr>
          <w:sz w:val="16"/>
        </w:rPr>
        <w:t xml:space="preserve">, and </w:t>
      </w:r>
      <w:proofErr w:type="spellStart"/>
      <w:r w:rsidRPr="00D010B7">
        <w:rPr>
          <w:sz w:val="16"/>
        </w:rPr>
        <w:t>E.R.Schlosser</w:t>
      </w:r>
      <w:proofErr w:type="spellEnd"/>
      <w:r w:rsidRPr="00D010B7">
        <w:rPr>
          <w:sz w:val="16"/>
        </w:rPr>
        <w:t xml:space="preserve"> are with “</w:t>
      </w:r>
      <w:proofErr w:type="spellStart"/>
      <w:r w:rsidRPr="00D010B7">
        <w:rPr>
          <w:sz w:val="16"/>
        </w:rPr>
        <w:t>Laboratório</w:t>
      </w:r>
      <w:proofErr w:type="spellEnd"/>
      <w:r w:rsidRPr="00D010B7">
        <w:rPr>
          <w:sz w:val="16"/>
        </w:rPr>
        <w:t xml:space="preserve"> de </w:t>
      </w:r>
      <w:proofErr w:type="spellStart"/>
      <w:r w:rsidRPr="00D010B7">
        <w:rPr>
          <w:sz w:val="16"/>
        </w:rPr>
        <w:t>Electromagnetismo</w:t>
      </w:r>
      <w:proofErr w:type="spellEnd"/>
      <w:r w:rsidRPr="00D010B7">
        <w:rPr>
          <w:sz w:val="16"/>
        </w:rPr>
        <w:t>, Micro-</w:t>
      </w:r>
      <w:proofErr w:type="spellStart"/>
      <w:r w:rsidRPr="00D010B7">
        <w:rPr>
          <w:sz w:val="16"/>
        </w:rPr>
        <w:t>ondas</w:t>
      </w:r>
      <w:proofErr w:type="spellEnd"/>
      <w:r w:rsidRPr="00D010B7">
        <w:rPr>
          <w:sz w:val="16"/>
        </w:rPr>
        <w:t xml:space="preserve"> e </w:t>
      </w:r>
      <w:proofErr w:type="spellStart"/>
      <w:r w:rsidRPr="00D010B7">
        <w:rPr>
          <w:sz w:val="16"/>
        </w:rPr>
        <w:t>Antenas</w:t>
      </w:r>
      <w:proofErr w:type="spellEnd"/>
      <w:r w:rsidRPr="00D010B7">
        <w:rPr>
          <w:sz w:val="16"/>
        </w:rPr>
        <w:t xml:space="preserve"> - LEMA” laboratory at “Universidad Federal do Pampa - UNIPAMPA”, </w:t>
      </w:r>
      <w:proofErr w:type="spellStart"/>
      <w:r w:rsidRPr="00D010B7">
        <w:rPr>
          <w:sz w:val="16"/>
        </w:rPr>
        <w:t>Alegrete</w:t>
      </w:r>
      <w:proofErr w:type="spellEnd"/>
      <w:r w:rsidRPr="00D010B7">
        <w:rPr>
          <w:sz w:val="16"/>
        </w:rPr>
        <w:t>, RS-Brazil ({</w:t>
      </w:r>
      <w:proofErr w:type="spellStart"/>
      <w:r w:rsidRPr="00D010B7">
        <w:rPr>
          <w:sz w:val="16"/>
        </w:rPr>
        <w:t>clarafranco.aluno</w:t>
      </w:r>
      <w:proofErr w:type="spellEnd"/>
      <w:r w:rsidRPr="00D010B7">
        <w:rPr>
          <w:sz w:val="16"/>
        </w:rPr>
        <w:t xml:space="preserve">, </w:t>
      </w:r>
      <w:proofErr w:type="spellStart"/>
      <w:r w:rsidRPr="00D010B7">
        <w:rPr>
          <w:sz w:val="16"/>
        </w:rPr>
        <w:t>willianfontella.aluno</w:t>
      </w:r>
      <w:proofErr w:type="spellEnd"/>
      <w:r w:rsidRPr="00D010B7">
        <w:rPr>
          <w:sz w:val="16"/>
        </w:rPr>
        <w:t xml:space="preserve">, </w:t>
      </w:r>
      <w:proofErr w:type="spellStart"/>
      <w:r w:rsidRPr="00D010B7">
        <w:rPr>
          <w:sz w:val="16"/>
        </w:rPr>
        <w:t>marcosheckler</w:t>
      </w:r>
      <w:proofErr w:type="spellEnd"/>
      <w:r w:rsidRPr="00D010B7">
        <w:rPr>
          <w:sz w:val="16"/>
        </w:rPr>
        <w:t xml:space="preserve">, </w:t>
      </w:r>
      <w:proofErr w:type="spellStart"/>
      <w:r w:rsidRPr="00D010B7">
        <w:rPr>
          <w:sz w:val="16"/>
        </w:rPr>
        <w:t>edsonschlosser</w:t>
      </w:r>
      <w:proofErr w:type="spellEnd"/>
      <w:r w:rsidRPr="00D010B7">
        <w:rPr>
          <w:sz w:val="16"/>
        </w:rPr>
        <w:t xml:space="preserve">}@unipampa.edu.br). </w:t>
      </w:r>
    </w:p>
    <w:p w14:paraId="26F5D29D" w14:textId="630A9E88" w:rsidR="00E63FDF" w:rsidRPr="00D010B7" w:rsidRDefault="00E63FDF" w:rsidP="00D010B7">
      <w:pPr>
        <w:spacing w:line="230" w:lineRule="auto"/>
        <w:ind w:left="113" w:right="40" w:firstLine="159"/>
        <w:jc w:val="both"/>
        <w:rPr>
          <w:sz w:val="16"/>
          <w:lang w:val="es-EC"/>
        </w:rPr>
      </w:pPr>
      <w:proofErr w:type="spellStart"/>
      <w:r w:rsidRPr="00D010B7">
        <w:rPr>
          <w:sz w:val="16"/>
          <w:lang w:val="es-EC"/>
        </w:rPr>
        <w:t>F.Lara</w:t>
      </w:r>
      <w:proofErr w:type="spellEnd"/>
      <w:r w:rsidRPr="00D010B7">
        <w:rPr>
          <w:sz w:val="16"/>
          <w:lang w:val="es-EC"/>
        </w:rPr>
        <w:t xml:space="preserve"> M. </w:t>
      </w:r>
      <w:proofErr w:type="spellStart"/>
      <w:r w:rsidRPr="00D010B7">
        <w:rPr>
          <w:sz w:val="16"/>
          <w:lang w:val="es-EC"/>
        </w:rPr>
        <w:t>is</w:t>
      </w:r>
      <w:proofErr w:type="spellEnd"/>
      <w:r w:rsidRPr="00D010B7">
        <w:rPr>
          <w:sz w:val="16"/>
          <w:lang w:val="es-EC"/>
        </w:rPr>
        <w:t xml:space="preserve"> </w:t>
      </w:r>
      <w:proofErr w:type="spellStart"/>
      <w:r w:rsidRPr="00D010B7">
        <w:rPr>
          <w:sz w:val="16"/>
          <w:lang w:val="es-EC"/>
        </w:rPr>
        <w:t>with</w:t>
      </w:r>
      <w:proofErr w:type="spellEnd"/>
      <w:r w:rsidRPr="00D010B7">
        <w:rPr>
          <w:sz w:val="16"/>
          <w:lang w:val="es-EC"/>
        </w:rPr>
        <w:t xml:space="preserve"> “Departamento de Electrónica, Telecomunicaciones y Redes de Información (DETRI)” at “Escuela Politécnica Nacional – EPN”, Quito, Ecuador (marco.lara@epn.edu.ec).</w:t>
      </w:r>
    </w:p>
    <w:p w14:paraId="3F9D91EC" w14:textId="66366263" w:rsidR="00E63FDF" w:rsidRPr="00D010B7" w:rsidRDefault="00E63FDF" w:rsidP="00D010B7">
      <w:pPr>
        <w:spacing w:line="230" w:lineRule="auto"/>
        <w:ind w:left="113" w:right="40" w:firstLine="159"/>
        <w:jc w:val="both"/>
        <w:rPr>
          <w:sz w:val="16"/>
        </w:rPr>
      </w:pPr>
      <w:r w:rsidRPr="00D010B7">
        <w:rPr>
          <w:sz w:val="16"/>
        </w:rPr>
        <w:t>R.D. León V. and H. Moya. are with Repairing Upgrading Global Radar Advanced – RUGRA, Quito, Ecuador (rleon@rugra-rdr.com)</w:t>
      </w:r>
    </w:p>
    <w:p w14:paraId="6D230CD7" w14:textId="1646C9BE" w:rsidR="00E63FDF" w:rsidRPr="00D010B7" w:rsidRDefault="00E63FDF" w:rsidP="00D010B7">
      <w:pPr>
        <w:spacing w:line="230" w:lineRule="auto"/>
        <w:ind w:left="113" w:right="40" w:firstLine="159"/>
        <w:jc w:val="both"/>
        <w:rPr>
          <w:sz w:val="16"/>
        </w:rPr>
      </w:pPr>
      <w:r w:rsidRPr="00D010B7">
        <w:rPr>
          <w:sz w:val="16"/>
        </w:rPr>
        <w:t xml:space="preserve">J.J. Freire and A.F. Tinoco-S. </w:t>
      </w:r>
      <w:proofErr w:type="gramStart"/>
      <w:r w:rsidRPr="00D010B7">
        <w:rPr>
          <w:sz w:val="16"/>
        </w:rPr>
        <w:t>are</w:t>
      </w:r>
      <w:proofErr w:type="gramEnd"/>
      <w:r w:rsidRPr="00D010B7">
        <w:rPr>
          <w:sz w:val="16"/>
        </w:rPr>
        <w:t xml:space="preserve"> with Faculty of Engineering and Applied Sciences, Networking and Telecommunications Engineering, Universidad de Las </w:t>
      </w:r>
      <w:proofErr w:type="spellStart"/>
      <w:r w:rsidRPr="00D010B7">
        <w:rPr>
          <w:sz w:val="16"/>
        </w:rPr>
        <w:t>Américas</w:t>
      </w:r>
      <w:proofErr w:type="spellEnd"/>
      <w:r w:rsidRPr="00D010B7">
        <w:rPr>
          <w:sz w:val="16"/>
        </w:rPr>
        <w:t xml:space="preserve"> (UDLA), Quito 170503, Ecuador ({</w:t>
      </w:r>
      <w:proofErr w:type="spellStart"/>
      <w:r w:rsidRPr="00D010B7">
        <w:rPr>
          <w:sz w:val="16"/>
        </w:rPr>
        <w:t>jose.freire</w:t>
      </w:r>
      <w:proofErr w:type="spellEnd"/>
      <w:r w:rsidRPr="00D010B7">
        <w:rPr>
          <w:sz w:val="16"/>
        </w:rPr>
        <w:t xml:space="preserve">, </w:t>
      </w:r>
      <w:proofErr w:type="spellStart"/>
      <w:r w:rsidRPr="00D010B7">
        <w:rPr>
          <w:sz w:val="16"/>
        </w:rPr>
        <w:t>alexis.tinoco</w:t>
      </w:r>
      <w:proofErr w:type="spellEnd"/>
      <w:r w:rsidRPr="00D010B7">
        <w:rPr>
          <w:sz w:val="16"/>
        </w:rPr>
        <w:t xml:space="preserve">}@udla.edu.ec).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87378" w14:textId="27A6F13B" w:rsidR="00E63FDF" w:rsidRDefault="00E63FDF" w:rsidP="009B6610">
    <w:pPr>
      <w:ind w:right="-405"/>
    </w:pPr>
    <w:r>
      <w:t>MASKAY 16(1), May 2026</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Recibido</w:t>
    </w:r>
    <w:proofErr w:type="spellEnd"/>
    <w:r>
      <w:t xml:space="preserve"> (Received): </w:t>
    </w:r>
    <w:r>
      <w:tab/>
      <w:t>2025/04/24</w:t>
    </w:r>
  </w:p>
  <w:p w14:paraId="72A2ACFD" w14:textId="58172492" w:rsidR="00E63FDF" w:rsidRDefault="00E63FDF" w:rsidP="009B6610">
    <w:pPr>
      <w:ind w:right="-405"/>
    </w:pPr>
    <w:r>
      <w:t>ISSN 1390-6712</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proofErr w:type="spellStart"/>
    <w:r>
      <w:t>Aceptado</w:t>
    </w:r>
    <w:proofErr w:type="spellEnd"/>
    <w:r>
      <w:t xml:space="preserve"> (Accepted): </w:t>
    </w:r>
    <w:r>
      <w:tab/>
      <w:t>2025/07/19</w:t>
    </w:r>
  </w:p>
  <w:p w14:paraId="65D3636A" w14:textId="77777777" w:rsidR="00E63FDF" w:rsidRDefault="00E63F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B4A36E0"/>
    <w:lvl w:ilvl="0">
      <w:start w:val="1"/>
      <w:numFmt w:val="decimal"/>
      <w:lvlText w:val="%1."/>
      <w:lvlJc w:val="left"/>
      <w:pPr>
        <w:tabs>
          <w:tab w:val="num" w:pos="360"/>
        </w:tabs>
        <w:ind w:left="360" w:hanging="360"/>
      </w:pPr>
    </w:lvl>
  </w:abstractNum>
  <w:abstractNum w:abstractNumId="1">
    <w:nsid w:val="FFFFFFFB"/>
    <w:multiLevelType w:val="multilevel"/>
    <w:tmpl w:val="8FBA57C0"/>
    <w:lvl w:ilvl="0">
      <w:start w:val="1"/>
      <w:numFmt w:val="upperRoman"/>
      <w:pStyle w:val="Ttulo1"/>
      <w:lvlText w:val="%1."/>
      <w:legacy w:legacy="1" w:legacySpace="144" w:legacyIndent="144"/>
      <w:lvlJc w:val="left"/>
      <w:rPr>
        <w:lang w:val="es-ES"/>
      </w:rPr>
    </w:lvl>
    <w:lvl w:ilvl="1">
      <w:start w:val="1"/>
      <w:numFmt w:val="upperLetter"/>
      <w:pStyle w:val="Ttulo2"/>
      <w:lvlText w:val="%2."/>
      <w:legacy w:legacy="1" w:legacySpace="144" w:legacyIndent="144"/>
      <w:lvlJc w:val="left"/>
      <w:rPr>
        <w:b w:val="0"/>
      </w:rPr>
    </w:lvl>
    <w:lvl w:ilvl="2">
      <w:start w:val="1"/>
      <w:numFmt w:val="decimal"/>
      <w:pStyle w:val="Ttulo3"/>
      <w:lvlText w:val="%3)"/>
      <w:legacy w:legacy="1" w:legacySpace="144" w:legacyIndent="144"/>
      <w:lvlJc w:val="left"/>
      <w:rPr>
        <w:i/>
      </w:rPr>
    </w:lvl>
    <w:lvl w:ilvl="3">
      <w:start w:val="1"/>
      <w:numFmt w:val="lowerLetter"/>
      <w:pStyle w:val="Ttulo4"/>
      <w:lvlText w:val="%4)"/>
      <w:legacy w:legacy="1" w:legacySpace="0" w:legacyIndent="720"/>
      <w:lvlJc w:val="left"/>
      <w:pPr>
        <w:ind w:left="1152" w:hanging="720"/>
      </w:pPr>
    </w:lvl>
    <w:lvl w:ilvl="4">
      <w:start w:val="1"/>
      <w:numFmt w:val="decimal"/>
      <w:pStyle w:val="Ttulo5"/>
      <w:lvlText w:val="(%5)"/>
      <w:legacy w:legacy="1" w:legacySpace="0" w:legacyIndent="720"/>
      <w:lvlJc w:val="left"/>
      <w:pPr>
        <w:ind w:left="1872" w:hanging="720"/>
      </w:pPr>
    </w:lvl>
    <w:lvl w:ilvl="5">
      <w:start w:val="1"/>
      <w:numFmt w:val="lowerLetter"/>
      <w:pStyle w:val="Ttulo6"/>
      <w:lvlText w:val="(%6)"/>
      <w:legacy w:legacy="1" w:legacySpace="0" w:legacyIndent="720"/>
      <w:lvlJc w:val="left"/>
      <w:pPr>
        <w:ind w:left="2592" w:hanging="720"/>
      </w:pPr>
    </w:lvl>
    <w:lvl w:ilvl="6">
      <w:start w:val="1"/>
      <w:numFmt w:val="lowerRoman"/>
      <w:pStyle w:val="Ttulo7"/>
      <w:lvlText w:val="(%7)"/>
      <w:legacy w:legacy="1" w:legacySpace="0" w:legacyIndent="720"/>
      <w:lvlJc w:val="left"/>
      <w:pPr>
        <w:ind w:left="3312" w:hanging="720"/>
      </w:pPr>
    </w:lvl>
    <w:lvl w:ilvl="7">
      <w:start w:val="1"/>
      <w:numFmt w:val="lowerLetter"/>
      <w:pStyle w:val="Ttulo8"/>
      <w:lvlText w:val="(%8)"/>
      <w:legacy w:legacy="1" w:legacySpace="0" w:legacyIndent="720"/>
      <w:lvlJc w:val="left"/>
      <w:pPr>
        <w:ind w:left="4032" w:hanging="720"/>
      </w:pPr>
    </w:lvl>
    <w:lvl w:ilvl="8">
      <w:start w:val="1"/>
      <w:numFmt w:val="lowerRoman"/>
      <w:pStyle w:val="Ttulo9"/>
      <w:lvlText w:val="(%9)"/>
      <w:legacy w:legacy="1" w:legacySpace="0" w:legacyIndent="720"/>
      <w:lvlJc w:val="left"/>
      <w:pPr>
        <w:ind w:left="4752" w:hanging="720"/>
      </w:pPr>
    </w:lvl>
  </w:abstractNum>
  <w:abstractNum w:abstractNumId="2">
    <w:nsid w:val="2312265A"/>
    <w:multiLevelType w:val="hybridMultilevel"/>
    <w:tmpl w:val="01F8C59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nsid w:val="6C402C58"/>
    <w:multiLevelType w:val="hybridMultilevel"/>
    <w:tmpl w:val="9014DDCC"/>
    <w:lvl w:ilvl="0" w:tplc="9970C44C">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8"/>
        <w:szCs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5"/>
  </w:num>
  <w:num w:numId="4">
    <w:abstractNumId w:val="4"/>
  </w:num>
  <w:num w:numId="5">
    <w:abstractNumId w:val="2"/>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202"/>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45"/>
    <w:rsid w:val="000010D8"/>
    <w:rsid w:val="00002C50"/>
    <w:rsid w:val="00007108"/>
    <w:rsid w:val="0001198D"/>
    <w:rsid w:val="00013A34"/>
    <w:rsid w:val="0001468B"/>
    <w:rsid w:val="000263D6"/>
    <w:rsid w:val="000320AB"/>
    <w:rsid w:val="000361E1"/>
    <w:rsid w:val="00042E13"/>
    <w:rsid w:val="0004777A"/>
    <w:rsid w:val="00051DD4"/>
    <w:rsid w:val="00053C00"/>
    <w:rsid w:val="00057C13"/>
    <w:rsid w:val="000724DE"/>
    <w:rsid w:val="00077781"/>
    <w:rsid w:val="00090A72"/>
    <w:rsid w:val="000A0C2F"/>
    <w:rsid w:val="000A0DB5"/>
    <w:rsid w:val="000A168B"/>
    <w:rsid w:val="000A3A11"/>
    <w:rsid w:val="000B5A09"/>
    <w:rsid w:val="000B6162"/>
    <w:rsid w:val="000C577D"/>
    <w:rsid w:val="000D2BDE"/>
    <w:rsid w:val="000E0A2F"/>
    <w:rsid w:val="000E6D60"/>
    <w:rsid w:val="000F161B"/>
    <w:rsid w:val="001007AC"/>
    <w:rsid w:val="00104BB0"/>
    <w:rsid w:val="001051F3"/>
    <w:rsid w:val="00105399"/>
    <w:rsid w:val="0010794E"/>
    <w:rsid w:val="00113F26"/>
    <w:rsid w:val="00122F44"/>
    <w:rsid w:val="00127A2C"/>
    <w:rsid w:val="0013354F"/>
    <w:rsid w:val="00135FE9"/>
    <w:rsid w:val="00143F2E"/>
    <w:rsid w:val="00144E72"/>
    <w:rsid w:val="00145AEF"/>
    <w:rsid w:val="00154259"/>
    <w:rsid w:val="001552AB"/>
    <w:rsid w:val="0015772E"/>
    <w:rsid w:val="00162E85"/>
    <w:rsid w:val="00172072"/>
    <w:rsid w:val="0017249F"/>
    <w:rsid w:val="001768FF"/>
    <w:rsid w:val="00184718"/>
    <w:rsid w:val="00195950"/>
    <w:rsid w:val="00196BAE"/>
    <w:rsid w:val="001A10EF"/>
    <w:rsid w:val="001A5E7D"/>
    <w:rsid w:val="001A60B1"/>
    <w:rsid w:val="001B2686"/>
    <w:rsid w:val="001B2BF6"/>
    <w:rsid w:val="001B36B1"/>
    <w:rsid w:val="001B55E2"/>
    <w:rsid w:val="001C19BA"/>
    <w:rsid w:val="001E481C"/>
    <w:rsid w:val="001E7B7A"/>
    <w:rsid w:val="001F468E"/>
    <w:rsid w:val="001F4C5C"/>
    <w:rsid w:val="00202034"/>
    <w:rsid w:val="002030B2"/>
    <w:rsid w:val="00204478"/>
    <w:rsid w:val="00211D90"/>
    <w:rsid w:val="00212DD9"/>
    <w:rsid w:val="002141CC"/>
    <w:rsid w:val="00214253"/>
    <w:rsid w:val="00214E2E"/>
    <w:rsid w:val="00216141"/>
    <w:rsid w:val="00217186"/>
    <w:rsid w:val="00220D81"/>
    <w:rsid w:val="00221C41"/>
    <w:rsid w:val="00223C49"/>
    <w:rsid w:val="002244A9"/>
    <w:rsid w:val="00226A22"/>
    <w:rsid w:val="00227652"/>
    <w:rsid w:val="00227908"/>
    <w:rsid w:val="00231F71"/>
    <w:rsid w:val="0023258B"/>
    <w:rsid w:val="00232B99"/>
    <w:rsid w:val="00241A2D"/>
    <w:rsid w:val="00242C84"/>
    <w:rsid w:val="002433DF"/>
    <w:rsid w:val="002434A1"/>
    <w:rsid w:val="00244D84"/>
    <w:rsid w:val="0025247A"/>
    <w:rsid w:val="002567A2"/>
    <w:rsid w:val="002620F6"/>
    <w:rsid w:val="00262A55"/>
    <w:rsid w:val="00262BF8"/>
    <w:rsid w:val="00263943"/>
    <w:rsid w:val="00267B35"/>
    <w:rsid w:val="002707C8"/>
    <w:rsid w:val="00271163"/>
    <w:rsid w:val="002730E8"/>
    <w:rsid w:val="002735B4"/>
    <w:rsid w:val="002808D3"/>
    <w:rsid w:val="002832A8"/>
    <w:rsid w:val="002839F7"/>
    <w:rsid w:val="002855F9"/>
    <w:rsid w:val="00292E77"/>
    <w:rsid w:val="00294091"/>
    <w:rsid w:val="002945B2"/>
    <w:rsid w:val="002966CF"/>
    <w:rsid w:val="002A23BD"/>
    <w:rsid w:val="002A76C5"/>
    <w:rsid w:val="002A7BDC"/>
    <w:rsid w:val="002B26E4"/>
    <w:rsid w:val="002C1D29"/>
    <w:rsid w:val="002C584E"/>
    <w:rsid w:val="002C58E0"/>
    <w:rsid w:val="002C597C"/>
    <w:rsid w:val="002C7CBE"/>
    <w:rsid w:val="002D4CBE"/>
    <w:rsid w:val="002E1F95"/>
    <w:rsid w:val="002E5857"/>
    <w:rsid w:val="002F00BD"/>
    <w:rsid w:val="002F1A23"/>
    <w:rsid w:val="002F4CF7"/>
    <w:rsid w:val="002F7910"/>
    <w:rsid w:val="00303679"/>
    <w:rsid w:val="00313AEC"/>
    <w:rsid w:val="00314F82"/>
    <w:rsid w:val="00316C89"/>
    <w:rsid w:val="00330D8A"/>
    <w:rsid w:val="0033726C"/>
    <w:rsid w:val="00337535"/>
    <w:rsid w:val="003400D7"/>
    <w:rsid w:val="003427CE"/>
    <w:rsid w:val="00342BE1"/>
    <w:rsid w:val="003459DC"/>
    <w:rsid w:val="003461E8"/>
    <w:rsid w:val="0035066A"/>
    <w:rsid w:val="00360269"/>
    <w:rsid w:val="0037551B"/>
    <w:rsid w:val="00384FC7"/>
    <w:rsid w:val="0038520F"/>
    <w:rsid w:val="00392DBA"/>
    <w:rsid w:val="003A40E0"/>
    <w:rsid w:val="003A66FB"/>
    <w:rsid w:val="003A7E38"/>
    <w:rsid w:val="003B1DE3"/>
    <w:rsid w:val="003B5766"/>
    <w:rsid w:val="003B5A05"/>
    <w:rsid w:val="003C0C77"/>
    <w:rsid w:val="003C111C"/>
    <w:rsid w:val="003C3322"/>
    <w:rsid w:val="003C547D"/>
    <w:rsid w:val="003C68C2"/>
    <w:rsid w:val="003D1EBF"/>
    <w:rsid w:val="003D3753"/>
    <w:rsid w:val="003D4CAE"/>
    <w:rsid w:val="003E0298"/>
    <w:rsid w:val="003E586F"/>
    <w:rsid w:val="003F26BD"/>
    <w:rsid w:val="003F52AD"/>
    <w:rsid w:val="003F61FE"/>
    <w:rsid w:val="00402302"/>
    <w:rsid w:val="004027C8"/>
    <w:rsid w:val="004123DA"/>
    <w:rsid w:val="00412B52"/>
    <w:rsid w:val="00423401"/>
    <w:rsid w:val="004244A2"/>
    <w:rsid w:val="004261EC"/>
    <w:rsid w:val="0043144F"/>
    <w:rsid w:val="00431A50"/>
    <w:rsid w:val="00431BFA"/>
    <w:rsid w:val="00432EA7"/>
    <w:rsid w:val="0043395D"/>
    <w:rsid w:val="004353CF"/>
    <w:rsid w:val="00435AF5"/>
    <w:rsid w:val="004473E7"/>
    <w:rsid w:val="004509A9"/>
    <w:rsid w:val="00452655"/>
    <w:rsid w:val="00454240"/>
    <w:rsid w:val="00462DF8"/>
    <w:rsid w:val="00463044"/>
    <w:rsid w:val="004631BC"/>
    <w:rsid w:val="00471BD1"/>
    <w:rsid w:val="0047263A"/>
    <w:rsid w:val="00472B67"/>
    <w:rsid w:val="00484761"/>
    <w:rsid w:val="00484DD5"/>
    <w:rsid w:val="00486A97"/>
    <w:rsid w:val="00490FBF"/>
    <w:rsid w:val="00494379"/>
    <w:rsid w:val="00496661"/>
    <w:rsid w:val="004B2803"/>
    <w:rsid w:val="004B37D8"/>
    <w:rsid w:val="004B3F82"/>
    <w:rsid w:val="004B558A"/>
    <w:rsid w:val="004B7A85"/>
    <w:rsid w:val="004C1E16"/>
    <w:rsid w:val="004C2543"/>
    <w:rsid w:val="004C28E5"/>
    <w:rsid w:val="004D15CA"/>
    <w:rsid w:val="004D6A17"/>
    <w:rsid w:val="004E27B7"/>
    <w:rsid w:val="004E3E4C"/>
    <w:rsid w:val="004F23A0"/>
    <w:rsid w:val="005003E3"/>
    <w:rsid w:val="005052CD"/>
    <w:rsid w:val="005162C6"/>
    <w:rsid w:val="00520ECA"/>
    <w:rsid w:val="005222B9"/>
    <w:rsid w:val="00523896"/>
    <w:rsid w:val="00526726"/>
    <w:rsid w:val="00530B71"/>
    <w:rsid w:val="00535307"/>
    <w:rsid w:val="00535E1C"/>
    <w:rsid w:val="00543B6D"/>
    <w:rsid w:val="00546D81"/>
    <w:rsid w:val="00550A26"/>
    <w:rsid w:val="00550BF5"/>
    <w:rsid w:val="00561D0E"/>
    <w:rsid w:val="00564F2F"/>
    <w:rsid w:val="00567A70"/>
    <w:rsid w:val="0057691B"/>
    <w:rsid w:val="00580CE3"/>
    <w:rsid w:val="00590DF0"/>
    <w:rsid w:val="00592641"/>
    <w:rsid w:val="005950C3"/>
    <w:rsid w:val="005A2A15"/>
    <w:rsid w:val="005A4563"/>
    <w:rsid w:val="005B0C43"/>
    <w:rsid w:val="005B2AC9"/>
    <w:rsid w:val="005C6EA6"/>
    <w:rsid w:val="005D1B15"/>
    <w:rsid w:val="005D2824"/>
    <w:rsid w:val="005D4F1A"/>
    <w:rsid w:val="005D72BB"/>
    <w:rsid w:val="005E1236"/>
    <w:rsid w:val="005E4194"/>
    <w:rsid w:val="005E4699"/>
    <w:rsid w:val="005E692F"/>
    <w:rsid w:val="005F5EE2"/>
    <w:rsid w:val="005F7CEA"/>
    <w:rsid w:val="00603890"/>
    <w:rsid w:val="00613E4A"/>
    <w:rsid w:val="0062114B"/>
    <w:rsid w:val="00623698"/>
    <w:rsid w:val="00625E96"/>
    <w:rsid w:val="00631148"/>
    <w:rsid w:val="00631F8E"/>
    <w:rsid w:val="00634420"/>
    <w:rsid w:val="00635CB1"/>
    <w:rsid w:val="00642D12"/>
    <w:rsid w:val="006430A9"/>
    <w:rsid w:val="00646886"/>
    <w:rsid w:val="00647C09"/>
    <w:rsid w:val="0065030A"/>
    <w:rsid w:val="00650E9E"/>
    <w:rsid w:val="00651F2C"/>
    <w:rsid w:val="00654CB7"/>
    <w:rsid w:val="00654FD6"/>
    <w:rsid w:val="00663908"/>
    <w:rsid w:val="006712FD"/>
    <w:rsid w:val="00672126"/>
    <w:rsid w:val="00676B56"/>
    <w:rsid w:val="00677C22"/>
    <w:rsid w:val="006846CC"/>
    <w:rsid w:val="00684721"/>
    <w:rsid w:val="00685D0E"/>
    <w:rsid w:val="00692DF7"/>
    <w:rsid w:val="00693D5D"/>
    <w:rsid w:val="006950BB"/>
    <w:rsid w:val="006957D9"/>
    <w:rsid w:val="00695D11"/>
    <w:rsid w:val="006B7F03"/>
    <w:rsid w:val="006C0883"/>
    <w:rsid w:val="006C12B9"/>
    <w:rsid w:val="006C14C6"/>
    <w:rsid w:val="006C56F6"/>
    <w:rsid w:val="006C7307"/>
    <w:rsid w:val="006D31FA"/>
    <w:rsid w:val="006D3328"/>
    <w:rsid w:val="006D7016"/>
    <w:rsid w:val="006E2DA7"/>
    <w:rsid w:val="006E76AF"/>
    <w:rsid w:val="006F10C4"/>
    <w:rsid w:val="006F7E43"/>
    <w:rsid w:val="00716D3E"/>
    <w:rsid w:val="00724C65"/>
    <w:rsid w:val="00725B45"/>
    <w:rsid w:val="00735879"/>
    <w:rsid w:val="0075011E"/>
    <w:rsid w:val="007530A3"/>
    <w:rsid w:val="007536F3"/>
    <w:rsid w:val="0076355A"/>
    <w:rsid w:val="007706A6"/>
    <w:rsid w:val="007707AB"/>
    <w:rsid w:val="007729AB"/>
    <w:rsid w:val="007759DC"/>
    <w:rsid w:val="00783F72"/>
    <w:rsid w:val="007866DE"/>
    <w:rsid w:val="00796434"/>
    <w:rsid w:val="007A0732"/>
    <w:rsid w:val="007A0E34"/>
    <w:rsid w:val="007A2347"/>
    <w:rsid w:val="007A3534"/>
    <w:rsid w:val="007A60C4"/>
    <w:rsid w:val="007A7A80"/>
    <w:rsid w:val="007A7D60"/>
    <w:rsid w:val="007B1301"/>
    <w:rsid w:val="007B19DF"/>
    <w:rsid w:val="007B416F"/>
    <w:rsid w:val="007B448A"/>
    <w:rsid w:val="007C00D0"/>
    <w:rsid w:val="007C4336"/>
    <w:rsid w:val="007D151E"/>
    <w:rsid w:val="007D2344"/>
    <w:rsid w:val="007D2D23"/>
    <w:rsid w:val="007D4929"/>
    <w:rsid w:val="007D57B2"/>
    <w:rsid w:val="007D761E"/>
    <w:rsid w:val="007E0794"/>
    <w:rsid w:val="007E5D49"/>
    <w:rsid w:val="007F0FE5"/>
    <w:rsid w:val="007F1B1A"/>
    <w:rsid w:val="007F7AA6"/>
    <w:rsid w:val="0080310C"/>
    <w:rsid w:val="00804A61"/>
    <w:rsid w:val="00807771"/>
    <w:rsid w:val="00807D39"/>
    <w:rsid w:val="00814C6E"/>
    <w:rsid w:val="0081663F"/>
    <w:rsid w:val="0082208F"/>
    <w:rsid w:val="00822227"/>
    <w:rsid w:val="00823624"/>
    <w:rsid w:val="008267C0"/>
    <w:rsid w:val="008375B1"/>
    <w:rsid w:val="00837E47"/>
    <w:rsid w:val="0084538A"/>
    <w:rsid w:val="008518FE"/>
    <w:rsid w:val="0085659C"/>
    <w:rsid w:val="00864212"/>
    <w:rsid w:val="00872026"/>
    <w:rsid w:val="008768CB"/>
    <w:rsid w:val="0087792E"/>
    <w:rsid w:val="00883EAF"/>
    <w:rsid w:val="00885258"/>
    <w:rsid w:val="00892260"/>
    <w:rsid w:val="00895394"/>
    <w:rsid w:val="0089560F"/>
    <w:rsid w:val="0089661D"/>
    <w:rsid w:val="008A30C3"/>
    <w:rsid w:val="008A3C23"/>
    <w:rsid w:val="008A4F7B"/>
    <w:rsid w:val="008A6AF6"/>
    <w:rsid w:val="008A77C4"/>
    <w:rsid w:val="008A7CD8"/>
    <w:rsid w:val="008B1AF3"/>
    <w:rsid w:val="008B4F2E"/>
    <w:rsid w:val="008C49CC"/>
    <w:rsid w:val="008D1ECF"/>
    <w:rsid w:val="008D2642"/>
    <w:rsid w:val="008D36D3"/>
    <w:rsid w:val="008D5C67"/>
    <w:rsid w:val="008D69E9"/>
    <w:rsid w:val="008D740D"/>
    <w:rsid w:val="008E0645"/>
    <w:rsid w:val="008E14A6"/>
    <w:rsid w:val="008E7E8E"/>
    <w:rsid w:val="008F1B3C"/>
    <w:rsid w:val="008F37FC"/>
    <w:rsid w:val="008F594A"/>
    <w:rsid w:val="009005A4"/>
    <w:rsid w:val="00900CB6"/>
    <w:rsid w:val="00900E29"/>
    <w:rsid w:val="00903206"/>
    <w:rsid w:val="00904C7E"/>
    <w:rsid w:val="00907687"/>
    <w:rsid w:val="0091035B"/>
    <w:rsid w:val="00912856"/>
    <w:rsid w:val="009167FF"/>
    <w:rsid w:val="00921A7B"/>
    <w:rsid w:val="009240D3"/>
    <w:rsid w:val="00931602"/>
    <w:rsid w:val="00933E4D"/>
    <w:rsid w:val="00942CED"/>
    <w:rsid w:val="00950403"/>
    <w:rsid w:val="009562BA"/>
    <w:rsid w:val="00960256"/>
    <w:rsid w:val="00961C3C"/>
    <w:rsid w:val="00966B75"/>
    <w:rsid w:val="00966EAC"/>
    <w:rsid w:val="00970E2D"/>
    <w:rsid w:val="0097337F"/>
    <w:rsid w:val="00973CC4"/>
    <w:rsid w:val="00977A15"/>
    <w:rsid w:val="00984B16"/>
    <w:rsid w:val="009913DD"/>
    <w:rsid w:val="009919C6"/>
    <w:rsid w:val="009947A8"/>
    <w:rsid w:val="009A1F6E"/>
    <w:rsid w:val="009A3256"/>
    <w:rsid w:val="009A3FEE"/>
    <w:rsid w:val="009B1BA8"/>
    <w:rsid w:val="009B1C85"/>
    <w:rsid w:val="009B60C4"/>
    <w:rsid w:val="009B6610"/>
    <w:rsid w:val="009B6C0A"/>
    <w:rsid w:val="009B7D62"/>
    <w:rsid w:val="009C5F7F"/>
    <w:rsid w:val="009C7D17"/>
    <w:rsid w:val="009D34E8"/>
    <w:rsid w:val="009D5A41"/>
    <w:rsid w:val="009E3C08"/>
    <w:rsid w:val="009E484E"/>
    <w:rsid w:val="009E52D0"/>
    <w:rsid w:val="009E72A6"/>
    <w:rsid w:val="009F076F"/>
    <w:rsid w:val="009F0FE0"/>
    <w:rsid w:val="009F1A0D"/>
    <w:rsid w:val="009F1DA5"/>
    <w:rsid w:val="009F40FB"/>
    <w:rsid w:val="009F4B45"/>
    <w:rsid w:val="009F639C"/>
    <w:rsid w:val="00A012AD"/>
    <w:rsid w:val="00A02D6F"/>
    <w:rsid w:val="00A03EE8"/>
    <w:rsid w:val="00A05DF2"/>
    <w:rsid w:val="00A11AF0"/>
    <w:rsid w:val="00A1799D"/>
    <w:rsid w:val="00A22FCB"/>
    <w:rsid w:val="00A23F11"/>
    <w:rsid w:val="00A250FF"/>
    <w:rsid w:val="00A25B3B"/>
    <w:rsid w:val="00A30C7E"/>
    <w:rsid w:val="00A40127"/>
    <w:rsid w:val="00A42BA1"/>
    <w:rsid w:val="00A472F1"/>
    <w:rsid w:val="00A50CC2"/>
    <w:rsid w:val="00A518E5"/>
    <w:rsid w:val="00A5237D"/>
    <w:rsid w:val="00A53147"/>
    <w:rsid w:val="00A554A3"/>
    <w:rsid w:val="00A55738"/>
    <w:rsid w:val="00A5651B"/>
    <w:rsid w:val="00A57200"/>
    <w:rsid w:val="00A63C65"/>
    <w:rsid w:val="00A758EA"/>
    <w:rsid w:val="00A8215E"/>
    <w:rsid w:val="00A834AA"/>
    <w:rsid w:val="00A91937"/>
    <w:rsid w:val="00A9434E"/>
    <w:rsid w:val="00A95026"/>
    <w:rsid w:val="00A95C50"/>
    <w:rsid w:val="00A97B89"/>
    <w:rsid w:val="00AA3605"/>
    <w:rsid w:val="00AB000C"/>
    <w:rsid w:val="00AB2030"/>
    <w:rsid w:val="00AB79A6"/>
    <w:rsid w:val="00AC126A"/>
    <w:rsid w:val="00AC4850"/>
    <w:rsid w:val="00AC55EC"/>
    <w:rsid w:val="00AC5FE2"/>
    <w:rsid w:val="00AC6C3D"/>
    <w:rsid w:val="00AF0FAC"/>
    <w:rsid w:val="00AF79FF"/>
    <w:rsid w:val="00B0067B"/>
    <w:rsid w:val="00B02485"/>
    <w:rsid w:val="00B16DB5"/>
    <w:rsid w:val="00B24461"/>
    <w:rsid w:val="00B336D3"/>
    <w:rsid w:val="00B34034"/>
    <w:rsid w:val="00B47B59"/>
    <w:rsid w:val="00B47CF7"/>
    <w:rsid w:val="00B51C95"/>
    <w:rsid w:val="00B53F81"/>
    <w:rsid w:val="00B56C13"/>
    <w:rsid w:val="00B56C2B"/>
    <w:rsid w:val="00B56FBE"/>
    <w:rsid w:val="00B57471"/>
    <w:rsid w:val="00B64CDE"/>
    <w:rsid w:val="00B65BD3"/>
    <w:rsid w:val="00B70469"/>
    <w:rsid w:val="00B72DD8"/>
    <w:rsid w:val="00B72E09"/>
    <w:rsid w:val="00BA4241"/>
    <w:rsid w:val="00BA6428"/>
    <w:rsid w:val="00BD0F17"/>
    <w:rsid w:val="00BD1D2A"/>
    <w:rsid w:val="00BF0C69"/>
    <w:rsid w:val="00BF385E"/>
    <w:rsid w:val="00BF3F54"/>
    <w:rsid w:val="00BF629B"/>
    <w:rsid w:val="00BF655C"/>
    <w:rsid w:val="00BF7D40"/>
    <w:rsid w:val="00C003FD"/>
    <w:rsid w:val="00C00797"/>
    <w:rsid w:val="00C03B4F"/>
    <w:rsid w:val="00C04A43"/>
    <w:rsid w:val="00C05B4F"/>
    <w:rsid w:val="00C075EF"/>
    <w:rsid w:val="00C11E83"/>
    <w:rsid w:val="00C20E5F"/>
    <w:rsid w:val="00C2378A"/>
    <w:rsid w:val="00C30DE9"/>
    <w:rsid w:val="00C31157"/>
    <w:rsid w:val="00C35768"/>
    <w:rsid w:val="00C378A1"/>
    <w:rsid w:val="00C45A8A"/>
    <w:rsid w:val="00C5052B"/>
    <w:rsid w:val="00C51BC3"/>
    <w:rsid w:val="00C550D3"/>
    <w:rsid w:val="00C56F46"/>
    <w:rsid w:val="00C5722C"/>
    <w:rsid w:val="00C57EFC"/>
    <w:rsid w:val="00C621D6"/>
    <w:rsid w:val="00C62BAB"/>
    <w:rsid w:val="00C707A5"/>
    <w:rsid w:val="00C75907"/>
    <w:rsid w:val="00C82D86"/>
    <w:rsid w:val="00C87522"/>
    <w:rsid w:val="00C907C9"/>
    <w:rsid w:val="00C95BC0"/>
    <w:rsid w:val="00CB1314"/>
    <w:rsid w:val="00CB4B8D"/>
    <w:rsid w:val="00CC0DDA"/>
    <w:rsid w:val="00CC2C57"/>
    <w:rsid w:val="00CC39AF"/>
    <w:rsid w:val="00CD3B2A"/>
    <w:rsid w:val="00CD684F"/>
    <w:rsid w:val="00CE0F75"/>
    <w:rsid w:val="00CE1644"/>
    <w:rsid w:val="00CE3C25"/>
    <w:rsid w:val="00CF0BA5"/>
    <w:rsid w:val="00CF2DCD"/>
    <w:rsid w:val="00CF38A7"/>
    <w:rsid w:val="00CF6539"/>
    <w:rsid w:val="00CF7546"/>
    <w:rsid w:val="00D010B7"/>
    <w:rsid w:val="00D06623"/>
    <w:rsid w:val="00D13FF9"/>
    <w:rsid w:val="00D14C6B"/>
    <w:rsid w:val="00D215DC"/>
    <w:rsid w:val="00D21C50"/>
    <w:rsid w:val="00D22B0A"/>
    <w:rsid w:val="00D24F9B"/>
    <w:rsid w:val="00D40E68"/>
    <w:rsid w:val="00D51906"/>
    <w:rsid w:val="00D5536F"/>
    <w:rsid w:val="00D560F1"/>
    <w:rsid w:val="00D56935"/>
    <w:rsid w:val="00D60C99"/>
    <w:rsid w:val="00D618B2"/>
    <w:rsid w:val="00D6551D"/>
    <w:rsid w:val="00D70BC5"/>
    <w:rsid w:val="00D716BA"/>
    <w:rsid w:val="00D72FF6"/>
    <w:rsid w:val="00D72FF9"/>
    <w:rsid w:val="00D758C6"/>
    <w:rsid w:val="00D7612F"/>
    <w:rsid w:val="00D76CDC"/>
    <w:rsid w:val="00D81021"/>
    <w:rsid w:val="00D83F1B"/>
    <w:rsid w:val="00D86725"/>
    <w:rsid w:val="00D90C10"/>
    <w:rsid w:val="00D92306"/>
    <w:rsid w:val="00D92E96"/>
    <w:rsid w:val="00D97860"/>
    <w:rsid w:val="00DA15B3"/>
    <w:rsid w:val="00DA258C"/>
    <w:rsid w:val="00DA4345"/>
    <w:rsid w:val="00DA6F7D"/>
    <w:rsid w:val="00DA7E50"/>
    <w:rsid w:val="00DC39BB"/>
    <w:rsid w:val="00DD20A1"/>
    <w:rsid w:val="00DD3C5B"/>
    <w:rsid w:val="00DD5BFE"/>
    <w:rsid w:val="00DE07FA"/>
    <w:rsid w:val="00DE20DB"/>
    <w:rsid w:val="00DF1AB8"/>
    <w:rsid w:val="00DF1D7B"/>
    <w:rsid w:val="00DF2DDE"/>
    <w:rsid w:val="00DF6F52"/>
    <w:rsid w:val="00DF77C8"/>
    <w:rsid w:val="00E01667"/>
    <w:rsid w:val="00E046E5"/>
    <w:rsid w:val="00E04CAC"/>
    <w:rsid w:val="00E059B8"/>
    <w:rsid w:val="00E109CC"/>
    <w:rsid w:val="00E154D3"/>
    <w:rsid w:val="00E17FDB"/>
    <w:rsid w:val="00E24FAA"/>
    <w:rsid w:val="00E275FB"/>
    <w:rsid w:val="00E36209"/>
    <w:rsid w:val="00E36272"/>
    <w:rsid w:val="00E37AF9"/>
    <w:rsid w:val="00E420BB"/>
    <w:rsid w:val="00E50DF6"/>
    <w:rsid w:val="00E55858"/>
    <w:rsid w:val="00E6336D"/>
    <w:rsid w:val="00E6366C"/>
    <w:rsid w:val="00E63FDF"/>
    <w:rsid w:val="00E81037"/>
    <w:rsid w:val="00E823D1"/>
    <w:rsid w:val="00E84398"/>
    <w:rsid w:val="00E965C5"/>
    <w:rsid w:val="00E96A3A"/>
    <w:rsid w:val="00E97402"/>
    <w:rsid w:val="00E97B99"/>
    <w:rsid w:val="00EA0158"/>
    <w:rsid w:val="00EA7053"/>
    <w:rsid w:val="00EB2E9D"/>
    <w:rsid w:val="00EC7CBB"/>
    <w:rsid w:val="00ED1E14"/>
    <w:rsid w:val="00ED5BE6"/>
    <w:rsid w:val="00EE6FFC"/>
    <w:rsid w:val="00EE77EA"/>
    <w:rsid w:val="00EF10AC"/>
    <w:rsid w:val="00EF3D38"/>
    <w:rsid w:val="00EF4701"/>
    <w:rsid w:val="00EF564E"/>
    <w:rsid w:val="00F00B2E"/>
    <w:rsid w:val="00F00FFA"/>
    <w:rsid w:val="00F05A5E"/>
    <w:rsid w:val="00F05F14"/>
    <w:rsid w:val="00F22198"/>
    <w:rsid w:val="00F27324"/>
    <w:rsid w:val="00F3027D"/>
    <w:rsid w:val="00F33D49"/>
    <w:rsid w:val="00F3481E"/>
    <w:rsid w:val="00F35AC0"/>
    <w:rsid w:val="00F40124"/>
    <w:rsid w:val="00F42422"/>
    <w:rsid w:val="00F51509"/>
    <w:rsid w:val="00F5221A"/>
    <w:rsid w:val="00F53338"/>
    <w:rsid w:val="00F57020"/>
    <w:rsid w:val="00F577F6"/>
    <w:rsid w:val="00F61D0B"/>
    <w:rsid w:val="00F633F2"/>
    <w:rsid w:val="00F65266"/>
    <w:rsid w:val="00F72B8A"/>
    <w:rsid w:val="00F751E1"/>
    <w:rsid w:val="00F872C7"/>
    <w:rsid w:val="00F932B6"/>
    <w:rsid w:val="00FB5EC8"/>
    <w:rsid w:val="00FB794C"/>
    <w:rsid w:val="00FC0B7B"/>
    <w:rsid w:val="00FC1C5D"/>
    <w:rsid w:val="00FD229B"/>
    <w:rsid w:val="00FD347F"/>
    <w:rsid w:val="00FD58E2"/>
    <w:rsid w:val="00FD5C1E"/>
    <w:rsid w:val="00FE5C66"/>
    <w:rsid w:val="00FE7FD3"/>
    <w:rsid w:val="00FF1646"/>
    <w:rsid w:val="00FF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AE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style>
  <w:style w:type="paragraph" w:styleId="Ttulo1">
    <w:name w:val="heading 1"/>
    <w:basedOn w:val="Normal"/>
    <w:next w:val="Normal"/>
    <w:link w:val="Ttulo1Car"/>
    <w:uiPriority w:val="9"/>
    <w:qFormat/>
    <w:pPr>
      <w:keepNext/>
      <w:numPr>
        <w:numId w:val="1"/>
      </w:numPr>
      <w:spacing w:before="240" w:after="80"/>
      <w:jc w:val="center"/>
      <w:outlineLvl w:val="0"/>
    </w:pPr>
    <w:rPr>
      <w:smallCaps/>
      <w:kern w:val="28"/>
    </w:rPr>
  </w:style>
  <w:style w:type="paragraph" w:styleId="Ttulo2">
    <w:name w:val="heading 2"/>
    <w:basedOn w:val="Normal"/>
    <w:next w:val="Normal"/>
    <w:link w:val="Ttulo2Car"/>
    <w:uiPriority w:val="9"/>
    <w:qFormat/>
    <w:pPr>
      <w:keepNext/>
      <w:numPr>
        <w:ilvl w:val="1"/>
        <w:numId w:val="1"/>
      </w:numPr>
      <w:spacing w:before="120" w:after="60"/>
      <w:outlineLvl w:val="1"/>
    </w:pPr>
    <w:rPr>
      <w:i/>
      <w:iCs/>
    </w:rPr>
  </w:style>
  <w:style w:type="paragraph" w:styleId="Ttulo3">
    <w:name w:val="heading 3"/>
    <w:basedOn w:val="Normal"/>
    <w:next w:val="Normal"/>
    <w:uiPriority w:val="9"/>
    <w:qFormat/>
    <w:pPr>
      <w:keepNext/>
      <w:numPr>
        <w:ilvl w:val="2"/>
        <w:numId w:val="1"/>
      </w:numPr>
      <w:outlineLvl w:val="2"/>
    </w:pPr>
    <w:rPr>
      <w:i/>
      <w:iCs/>
    </w:rPr>
  </w:style>
  <w:style w:type="paragraph" w:styleId="Ttulo4">
    <w:name w:val="heading 4"/>
    <w:basedOn w:val="Normal"/>
    <w:next w:val="Normal"/>
    <w:uiPriority w:val="9"/>
    <w:qFormat/>
    <w:pPr>
      <w:keepNext/>
      <w:numPr>
        <w:ilvl w:val="3"/>
        <w:numId w:val="1"/>
      </w:numPr>
      <w:spacing w:before="240" w:after="60"/>
      <w:outlineLvl w:val="3"/>
    </w:pPr>
    <w:rPr>
      <w:i/>
      <w:iCs/>
      <w:sz w:val="18"/>
      <w:szCs w:val="18"/>
    </w:rPr>
  </w:style>
  <w:style w:type="paragraph" w:styleId="Ttulo5">
    <w:name w:val="heading 5"/>
    <w:basedOn w:val="Normal"/>
    <w:next w:val="Normal"/>
    <w:uiPriority w:val="9"/>
    <w:qFormat/>
    <w:pPr>
      <w:numPr>
        <w:ilvl w:val="4"/>
        <w:numId w:val="1"/>
      </w:numPr>
      <w:spacing w:before="240" w:after="60"/>
      <w:outlineLvl w:val="4"/>
    </w:pPr>
    <w:rPr>
      <w:sz w:val="18"/>
      <w:szCs w:val="18"/>
    </w:rPr>
  </w:style>
  <w:style w:type="paragraph" w:styleId="Ttulo6">
    <w:name w:val="heading 6"/>
    <w:basedOn w:val="Normal"/>
    <w:next w:val="Normal"/>
    <w:uiPriority w:val="9"/>
    <w:qFormat/>
    <w:pPr>
      <w:numPr>
        <w:ilvl w:val="5"/>
        <w:numId w:val="1"/>
      </w:numPr>
      <w:spacing w:before="240" w:after="60"/>
      <w:outlineLvl w:val="5"/>
    </w:pPr>
    <w:rPr>
      <w:i/>
      <w:iCs/>
      <w:sz w:val="16"/>
      <w:szCs w:val="16"/>
    </w:rPr>
  </w:style>
  <w:style w:type="paragraph" w:styleId="Ttulo7">
    <w:name w:val="heading 7"/>
    <w:basedOn w:val="Normal"/>
    <w:next w:val="Normal"/>
    <w:uiPriority w:val="9"/>
    <w:qFormat/>
    <w:pPr>
      <w:numPr>
        <w:ilvl w:val="6"/>
        <w:numId w:val="1"/>
      </w:numPr>
      <w:spacing w:before="240" w:after="60"/>
      <w:outlineLvl w:val="6"/>
    </w:pPr>
    <w:rPr>
      <w:sz w:val="16"/>
      <w:szCs w:val="16"/>
    </w:rPr>
  </w:style>
  <w:style w:type="paragraph" w:styleId="Ttulo8">
    <w:name w:val="heading 8"/>
    <w:basedOn w:val="Normal"/>
    <w:next w:val="Normal"/>
    <w:uiPriority w:val="9"/>
    <w:qFormat/>
    <w:pPr>
      <w:numPr>
        <w:ilvl w:val="7"/>
        <w:numId w:val="1"/>
      </w:numPr>
      <w:spacing w:before="240" w:after="60"/>
      <w:outlineLvl w:val="7"/>
    </w:pPr>
    <w:rPr>
      <w:i/>
      <w:iCs/>
      <w:sz w:val="16"/>
      <w:szCs w:val="16"/>
    </w:rPr>
  </w:style>
  <w:style w:type="paragraph" w:styleId="Ttulo9">
    <w:name w:val="heading 9"/>
    <w:basedOn w:val="Normal"/>
    <w:next w:val="Normal"/>
    <w:link w:val="Ttulo9Car"/>
    <w:uiPriority w:val="9"/>
    <w:qFormat/>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Ttulo">
    <w:name w:val="Title"/>
    <w:basedOn w:val="Normal"/>
    <w:next w:val="Normal"/>
    <w:qFormat/>
    <w:pPr>
      <w:framePr w:w="9360" w:hSpace="187" w:vSpace="187" w:wrap="notBeside" w:vAnchor="text" w:hAnchor="page" w:xAlign="center" w:y="1"/>
      <w:jc w:val="center"/>
    </w:pPr>
    <w:rPr>
      <w:kern w:val="28"/>
      <w:sz w:val="48"/>
      <w:szCs w:val="48"/>
    </w:rPr>
  </w:style>
  <w:style w:type="paragraph" w:styleId="Textonotapie">
    <w:name w:val="footnote text"/>
    <w:basedOn w:val="Normal"/>
    <w:link w:val="TextonotapieCar"/>
    <w:semiHidden/>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Refdenotaalpie">
    <w:name w:val="footnote reference"/>
    <w:semiHidden/>
    <w:rPr>
      <w:vertAlign w:val="superscript"/>
    </w:rPr>
  </w:style>
  <w:style w:type="paragraph" w:styleId="Piedepgina">
    <w:name w:val="footer"/>
    <w:basedOn w:val="Normal"/>
    <w:link w:val="PiedepginaC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Ttulo1"/>
    <w:link w:val="ReferenceHeadChar"/>
    <w:pPr>
      <w:numPr>
        <w:numId w:val="0"/>
      </w:numPr>
    </w:pPr>
  </w:style>
  <w:style w:type="paragraph" w:styleId="Encabezado">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ipervnculo">
    <w:name w:val="Hyperlink"/>
    <w:rPr>
      <w:color w:val="0000FF"/>
      <w:u w:val="single"/>
    </w:rPr>
  </w:style>
  <w:style w:type="character" w:styleId="Hipervnculovisitado">
    <w:name w:val="FollowedHyperlink"/>
    <w:rPr>
      <w:color w:val="800080"/>
      <w:u w:val="single"/>
    </w:rPr>
  </w:style>
  <w:style w:type="paragraph" w:styleId="Sangradetextonormal">
    <w:name w:val="Body Text Indent"/>
    <w:basedOn w:val="Normal"/>
    <w:link w:val="SangradetextonormalCar"/>
    <w:pPr>
      <w:ind w:left="630" w:hanging="630"/>
    </w:pPr>
    <w:rPr>
      <w:szCs w:val="24"/>
    </w:rPr>
  </w:style>
  <w:style w:type="paragraph" w:styleId="Mapadeldocumento">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Textodeglobo">
    <w:name w:val="Balloon Text"/>
    <w:basedOn w:val="Normal"/>
    <w:link w:val="TextodegloboCar"/>
    <w:rsid w:val="00F33D49"/>
    <w:rPr>
      <w:rFonts w:ascii="Tahoma" w:hAnsi="Tahoma" w:cs="Tahoma"/>
      <w:sz w:val="16"/>
      <w:szCs w:val="16"/>
    </w:rPr>
  </w:style>
  <w:style w:type="character" w:customStyle="1" w:styleId="TextodegloboCar">
    <w:name w:val="Texto de globo Car"/>
    <w:link w:val="Textodeglobo"/>
    <w:rsid w:val="00F33D49"/>
    <w:rPr>
      <w:rFonts w:ascii="Tahoma" w:hAnsi="Tahoma" w:cs="Tahoma"/>
      <w:sz w:val="16"/>
      <w:szCs w:val="16"/>
    </w:rPr>
  </w:style>
  <w:style w:type="character" w:customStyle="1" w:styleId="MediumGrid11">
    <w:name w:val="Medium Grid 11"/>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MS Mincho" w:hAnsi="Formata-Regular" w:cs="Formata-Regular"/>
      <w:color w:val="000000"/>
      <w:sz w:val="22"/>
      <w:szCs w:val="22"/>
      <w:lang w:eastAsia="ja-JP"/>
    </w:rPr>
  </w:style>
  <w:style w:type="character" w:customStyle="1" w:styleId="BodyText1">
    <w:name w:val="Body Text1"/>
    <w:uiPriority w:val="99"/>
    <w:rsid w:val="00C82D86"/>
    <w:rPr>
      <w:rFonts w:ascii="Verdana" w:hAnsi="Verdana" w:cs="Verdana"/>
      <w:color w:val="000000"/>
      <w:sz w:val="22"/>
      <w:szCs w:val="22"/>
    </w:rPr>
  </w:style>
  <w:style w:type="character" w:customStyle="1" w:styleId="bodytype">
    <w:name w:val="body type"/>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Ttulo1Car">
    <w:name w:val="Título 1 Car"/>
    <w:link w:val="Ttulo1"/>
    <w:uiPriority w:val="9"/>
    <w:rsid w:val="003F52AD"/>
    <w:rPr>
      <w:smallCaps/>
      <w:kern w:val="28"/>
    </w:rPr>
  </w:style>
  <w:style w:type="character" w:customStyle="1" w:styleId="ReferenceHeadChar">
    <w:name w:val="Reference Head Char"/>
    <w:link w:val="ReferenceHead"/>
    <w:rsid w:val="003F52AD"/>
    <w:rPr>
      <w:smallCaps/>
      <w:kern w:val="28"/>
    </w:rPr>
  </w:style>
  <w:style w:type="character" w:customStyle="1" w:styleId="Style1Char">
    <w:name w:val="Style1 Char"/>
    <w:link w:val="Style1"/>
    <w:rsid w:val="003F52AD"/>
    <w:rPr>
      <w:smallCaps/>
      <w:kern w:val="28"/>
    </w:rPr>
  </w:style>
  <w:style w:type="paragraph" w:customStyle="1" w:styleId="ColorfulShading-Accent11">
    <w:name w:val="Colorful Shading - Accent 11"/>
    <w:hidden/>
    <w:uiPriority w:val="99"/>
    <w:semiHidden/>
    <w:rsid w:val="001B36B1"/>
  </w:style>
  <w:style w:type="character" w:customStyle="1" w:styleId="BodyText2">
    <w:name w:val="Body Text2"/>
    <w:uiPriority w:val="99"/>
    <w:rsid w:val="001B36B1"/>
    <w:rPr>
      <w:rFonts w:ascii="Verdana" w:hAnsi="Verdana" w:cs="Verdana"/>
      <w:color w:val="000000"/>
      <w:sz w:val="22"/>
      <w:szCs w:val="22"/>
    </w:rPr>
  </w:style>
  <w:style w:type="character" w:customStyle="1" w:styleId="Ttulo2Car">
    <w:name w:val="Título 2 Car"/>
    <w:link w:val="Ttulo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link w:val="TextL-MAG"/>
    <w:rsid w:val="009C7D17"/>
    <w:rPr>
      <w:rFonts w:ascii="Arial" w:eastAsia="MS Mincho" w:hAnsi="Arial"/>
      <w:sz w:val="18"/>
      <w:szCs w:val="22"/>
      <w:lang w:eastAsia="ja-JP"/>
    </w:rPr>
  </w:style>
  <w:style w:type="character" w:customStyle="1" w:styleId="PiedepginaCar">
    <w:name w:val="Pie de página Car"/>
    <w:basedOn w:val="Fuentedeprrafopredeter"/>
    <w:link w:val="Piedepgina"/>
    <w:uiPriority w:val="99"/>
    <w:rsid w:val="00D90C10"/>
  </w:style>
  <w:style w:type="character" w:customStyle="1" w:styleId="TextonotapieCar">
    <w:name w:val="Texto nota pie Car"/>
    <w:link w:val="Textonotapie"/>
    <w:semiHidden/>
    <w:rsid w:val="00C075EF"/>
    <w:rPr>
      <w:sz w:val="16"/>
      <w:szCs w:val="16"/>
    </w:rPr>
  </w:style>
  <w:style w:type="character" w:customStyle="1" w:styleId="SangradetextonormalCar">
    <w:name w:val="Sangría de texto normal Car"/>
    <w:link w:val="Sangradetextonormal"/>
    <w:rsid w:val="003F26BD"/>
    <w:rPr>
      <w:szCs w:val="24"/>
    </w:rPr>
  </w:style>
  <w:style w:type="character" w:customStyle="1" w:styleId="m5113501246024331607m-6864882937387638336gmail-il">
    <w:name w:val="m_5113501246024331607m_-6864882937387638336gmail-il"/>
    <w:basedOn w:val="Fuentedeprrafopredeter"/>
    <w:rsid w:val="0076355A"/>
  </w:style>
  <w:style w:type="paragraph" w:customStyle="1" w:styleId="ColorfulList-Accent11">
    <w:name w:val="Colorful List - Accent 11"/>
    <w:basedOn w:val="Normal"/>
    <w:uiPriority w:val="34"/>
    <w:qFormat/>
    <w:rsid w:val="0076355A"/>
    <w:pPr>
      <w:ind w:left="720"/>
      <w:contextualSpacing/>
    </w:pPr>
  </w:style>
  <w:style w:type="character" w:customStyle="1" w:styleId="apple-converted-space">
    <w:name w:val="apple-converted-space"/>
    <w:basedOn w:val="Fuentedeprrafopredeter"/>
    <w:rsid w:val="00F932B6"/>
  </w:style>
  <w:style w:type="paragraph" w:customStyle="1" w:styleId="figurecaption">
    <w:name w:val="figure caption"/>
    <w:rsid w:val="00E81037"/>
    <w:pPr>
      <w:numPr>
        <w:numId w:val="3"/>
      </w:numPr>
      <w:tabs>
        <w:tab w:val="left" w:pos="533"/>
      </w:tabs>
      <w:spacing w:before="80" w:after="200"/>
      <w:jc w:val="both"/>
    </w:pPr>
    <w:rPr>
      <w:noProof/>
      <w:sz w:val="16"/>
      <w:szCs w:val="16"/>
    </w:rPr>
  </w:style>
  <w:style w:type="paragraph" w:customStyle="1" w:styleId="references0">
    <w:name w:val="references"/>
    <w:uiPriority w:val="99"/>
    <w:rsid w:val="00E81037"/>
    <w:pPr>
      <w:numPr>
        <w:numId w:val="4"/>
      </w:numPr>
      <w:spacing w:after="50" w:line="180" w:lineRule="exact"/>
      <w:jc w:val="both"/>
    </w:pPr>
    <w:rPr>
      <w:noProof/>
      <w:sz w:val="16"/>
      <w:szCs w:val="16"/>
    </w:rPr>
  </w:style>
  <w:style w:type="paragraph" w:customStyle="1" w:styleId="MTDisplayEquation">
    <w:name w:val="MTDisplayEquation"/>
    <w:basedOn w:val="Textoindependiente"/>
    <w:next w:val="Normal"/>
    <w:link w:val="MTDisplayEquationCar"/>
    <w:rsid w:val="00172072"/>
    <w:pPr>
      <w:tabs>
        <w:tab w:val="center" w:pos="2520"/>
        <w:tab w:val="right" w:pos="5040"/>
      </w:tabs>
      <w:spacing w:line="228" w:lineRule="auto"/>
      <w:jc w:val="both"/>
    </w:pPr>
    <w:rPr>
      <w:rFonts w:eastAsia="MS Mincho"/>
      <w:spacing w:val="-1"/>
    </w:rPr>
  </w:style>
  <w:style w:type="character" w:customStyle="1" w:styleId="MTDisplayEquationCar">
    <w:name w:val="MTDisplayEquation Car"/>
    <w:link w:val="MTDisplayEquation"/>
    <w:rsid w:val="00172072"/>
    <w:rPr>
      <w:rFonts w:eastAsia="MS Mincho"/>
      <w:spacing w:val="-1"/>
    </w:rPr>
  </w:style>
  <w:style w:type="paragraph" w:styleId="Textoindependiente">
    <w:name w:val="Body Text"/>
    <w:basedOn w:val="Normal"/>
    <w:link w:val="TextoindependienteCar"/>
    <w:rsid w:val="00172072"/>
    <w:pPr>
      <w:spacing w:after="120"/>
    </w:pPr>
  </w:style>
  <w:style w:type="character" w:customStyle="1" w:styleId="TextoindependienteCar">
    <w:name w:val="Texto independiente Car"/>
    <w:basedOn w:val="Fuentedeprrafopredeter"/>
    <w:link w:val="Textoindependiente"/>
    <w:rsid w:val="00172072"/>
  </w:style>
  <w:style w:type="character" w:styleId="Refdecomentario">
    <w:name w:val="annotation reference"/>
    <w:basedOn w:val="Fuentedeprrafopredeter"/>
    <w:rsid w:val="00DA6F7D"/>
    <w:rPr>
      <w:sz w:val="16"/>
      <w:szCs w:val="16"/>
    </w:rPr>
  </w:style>
  <w:style w:type="paragraph" w:styleId="Textocomentario">
    <w:name w:val="annotation text"/>
    <w:basedOn w:val="Normal"/>
    <w:link w:val="TextocomentarioCar"/>
    <w:rsid w:val="00DA6F7D"/>
  </w:style>
  <w:style w:type="character" w:customStyle="1" w:styleId="TextocomentarioCar">
    <w:name w:val="Texto comentario Car"/>
    <w:basedOn w:val="Fuentedeprrafopredeter"/>
    <w:link w:val="Textocomentario"/>
    <w:rsid w:val="00DA6F7D"/>
  </w:style>
  <w:style w:type="paragraph" w:styleId="Asuntodelcomentario">
    <w:name w:val="annotation subject"/>
    <w:basedOn w:val="Textocomentario"/>
    <w:next w:val="Textocomentario"/>
    <w:link w:val="AsuntodelcomentarioCar"/>
    <w:rsid w:val="00DA6F7D"/>
    <w:rPr>
      <w:b/>
      <w:bCs/>
    </w:rPr>
  </w:style>
  <w:style w:type="character" w:customStyle="1" w:styleId="AsuntodelcomentarioCar">
    <w:name w:val="Asunto del comentario Car"/>
    <w:basedOn w:val="TextocomentarioCar"/>
    <w:link w:val="Asuntodelcomentario"/>
    <w:rsid w:val="00DA6F7D"/>
    <w:rPr>
      <w:b/>
      <w:bCs/>
    </w:rPr>
  </w:style>
  <w:style w:type="character" w:customStyle="1" w:styleId="MTEquationSection">
    <w:name w:val="MTEquationSection"/>
    <w:basedOn w:val="Fuentedeprrafopredeter"/>
    <w:rsid w:val="00454240"/>
    <w:rPr>
      <w:vanish/>
      <w:color w:val="FF0000"/>
      <w:sz w:val="4"/>
      <w:szCs w:val="4"/>
    </w:rPr>
  </w:style>
  <w:style w:type="paragraph" w:styleId="Prrafodelista">
    <w:name w:val="List Paragraph"/>
    <w:basedOn w:val="Normal"/>
    <w:uiPriority w:val="34"/>
    <w:qFormat/>
    <w:rsid w:val="00EA7053"/>
    <w:pPr>
      <w:ind w:left="720"/>
      <w:contextualSpacing/>
    </w:pPr>
    <w:rPr>
      <w:lang w:val="es-EC"/>
    </w:rPr>
  </w:style>
  <w:style w:type="table" w:styleId="Tablaconcuadrcula">
    <w:name w:val="Table Grid"/>
    <w:basedOn w:val="Tablanormal"/>
    <w:rsid w:val="006F1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lista6concolores1">
    <w:name w:val="Tabla de lista 6 con colores1"/>
    <w:basedOn w:val="Tablanormal"/>
    <w:uiPriority w:val="51"/>
    <w:rsid w:val="007B19DF"/>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9C5F7F"/>
    <w:pPr>
      <w:autoSpaceDE w:val="0"/>
      <w:autoSpaceDN w:val="0"/>
      <w:adjustRightInd w:val="0"/>
    </w:pPr>
    <w:rPr>
      <w:rFonts w:eastAsia="Calibri"/>
      <w:color w:val="000000"/>
      <w:sz w:val="24"/>
      <w:szCs w:val="24"/>
    </w:rPr>
  </w:style>
  <w:style w:type="paragraph" w:styleId="Epgrafe">
    <w:name w:val="caption"/>
    <w:basedOn w:val="Normal"/>
    <w:next w:val="Normal"/>
    <w:unhideWhenUsed/>
    <w:qFormat/>
    <w:rsid w:val="00B47CF7"/>
    <w:pPr>
      <w:spacing w:after="200"/>
    </w:pPr>
    <w:rPr>
      <w:i/>
      <w:iCs/>
      <w:color w:val="44546A" w:themeColor="text2"/>
      <w:sz w:val="18"/>
      <w:szCs w:val="18"/>
    </w:rPr>
  </w:style>
  <w:style w:type="table" w:customStyle="1" w:styleId="TableNormal">
    <w:name w:val="Table Normal"/>
    <w:uiPriority w:val="2"/>
    <w:semiHidden/>
    <w:unhideWhenUsed/>
    <w:qFormat/>
    <w:rsid w:val="00431A50"/>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31A50"/>
    <w:pPr>
      <w:widowControl w:val="0"/>
      <w:autoSpaceDE w:val="0"/>
      <w:autoSpaceDN w:val="0"/>
      <w:spacing w:line="157" w:lineRule="exact"/>
      <w:ind w:left="11"/>
      <w:jc w:val="center"/>
    </w:pPr>
    <w:rPr>
      <w:sz w:val="22"/>
      <w:szCs w:val="22"/>
    </w:rPr>
  </w:style>
  <w:style w:type="character" w:customStyle="1" w:styleId="Mencinsinresolver1">
    <w:name w:val="Mención sin resolver1"/>
    <w:basedOn w:val="Fuentedeprrafopredeter"/>
    <w:uiPriority w:val="99"/>
    <w:semiHidden/>
    <w:unhideWhenUsed/>
    <w:rsid w:val="00684721"/>
    <w:rPr>
      <w:color w:val="605E5C"/>
      <w:shd w:val="clear" w:color="auto" w:fill="E1DFDD"/>
    </w:rPr>
  </w:style>
  <w:style w:type="character" w:customStyle="1" w:styleId="Mencinsinresolver2">
    <w:name w:val="Mención sin resolver2"/>
    <w:basedOn w:val="Fuentedeprrafopredeter"/>
    <w:uiPriority w:val="99"/>
    <w:semiHidden/>
    <w:unhideWhenUsed/>
    <w:rsid w:val="00057C13"/>
    <w:rPr>
      <w:color w:val="605E5C"/>
      <w:shd w:val="clear" w:color="auto" w:fill="E1DFDD"/>
    </w:rPr>
  </w:style>
  <w:style w:type="character" w:styleId="Textodelmarcadordeposicin">
    <w:name w:val="Placeholder Text"/>
    <w:basedOn w:val="Fuentedeprrafopredeter"/>
    <w:rsid w:val="002030B2"/>
    <w:rPr>
      <w:color w:val="666666"/>
    </w:rPr>
  </w:style>
  <w:style w:type="paragraph" w:styleId="Bibliografa">
    <w:name w:val="Bibliography"/>
    <w:basedOn w:val="Normal"/>
    <w:next w:val="Normal"/>
    <w:uiPriority w:val="70"/>
    <w:semiHidden/>
    <w:unhideWhenUsed/>
    <w:rsid w:val="0097337F"/>
    <w:rPr>
      <w:lang w:val="es-EC"/>
    </w:rPr>
  </w:style>
  <w:style w:type="character" w:customStyle="1" w:styleId="Ttulo9Car">
    <w:name w:val="Título 9 Car"/>
    <w:basedOn w:val="Fuentedeprrafopredeter"/>
    <w:link w:val="Ttulo9"/>
    <w:uiPriority w:val="9"/>
    <w:rsid w:val="0022790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82685">
      <w:bodyDiv w:val="1"/>
      <w:marLeft w:val="0"/>
      <w:marRight w:val="0"/>
      <w:marTop w:val="0"/>
      <w:marBottom w:val="0"/>
      <w:divBdr>
        <w:top w:val="none" w:sz="0" w:space="0" w:color="auto"/>
        <w:left w:val="none" w:sz="0" w:space="0" w:color="auto"/>
        <w:bottom w:val="none" w:sz="0" w:space="0" w:color="auto"/>
        <w:right w:val="none" w:sz="0" w:space="0" w:color="auto"/>
      </w:divBdr>
    </w:div>
    <w:div w:id="188494953">
      <w:bodyDiv w:val="1"/>
      <w:marLeft w:val="0"/>
      <w:marRight w:val="0"/>
      <w:marTop w:val="0"/>
      <w:marBottom w:val="0"/>
      <w:divBdr>
        <w:top w:val="none" w:sz="0" w:space="0" w:color="auto"/>
        <w:left w:val="none" w:sz="0" w:space="0" w:color="auto"/>
        <w:bottom w:val="none" w:sz="0" w:space="0" w:color="auto"/>
        <w:right w:val="none" w:sz="0" w:space="0" w:color="auto"/>
      </w:divBdr>
    </w:div>
    <w:div w:id="225579485">
      <w:bodyDiv w:val="1"/>
      <w:marLeft w:val="0"/>
      <w:marRight w:val="0"/>
      <w:marTop w:val="0"/>
      <w:marBottom w:val="0"/>
      <w:divBdr>
        <w:top w:val="none" w:sz="0" w:space="0" w:color="auto"/>
        <w:left w:val="none" w:sz="0" w:space="0" w:color="auto"/>
        <w:bottom w:val="none" w:sz="0" w:space="0" w:color="auto"/>
        <w:right w:val="none" w:sz="0" w:space="0" w:color="auto"/>
      </w:divBdr>
    </w:div>
    <w:div w:id="517547737">
      <w:bodyDiv w:val="1"/>
      <w:marLeft w:val="0"/>
      <w:marRight w:val="0"/>
      <w:marTop w:val="0"/>
      <w:marBottom w:val="0"/>
      <w:divBdr>
        <w:top w:val="none" w:sz="0" w:space="0" w:color="auto"/>
        <w:left w:val="none" w:sz="0" w:space="0" w:color="auto"/>
        <w:bottom w:val="none" w:sz="0" w:space="0" w:color="auto"/>
        <w:right w:val="none" w:sz="0" w:space="0" w:color="auto"/>
      </w:divBdr>
    </w:div>
    <w:div w:id="529420538">
      <w:bodyDiv w:val="1"/>
      <w:marLeft w:val="0"/>
      <w:marRight w:val="0"/>
      <w:marTop w:val="0"/>
      <w:marBottom w:val="0"/>
      <w:divBdr>
        <w:top w:val="none" w:sz="0" w:space="0" w:color="auto"/>
        <w:left w:val="none" w:sz="0" w:space="0" w:color="auto"/>
        <w:bottom w:val="none" w:sz="0" w:space="0" w:color="auto"/>
        <w:right w:val="none" w:sz="0" w:space="0" w:color="auto"/>
      </w:divBdr>
      <w:divsChild>
        <w:div w:id="319309106">
          <w:marLeft w:val="0"/>
          <w:marRight w:val="0"/>
          <w:marTop w:val="0"/>
          <w:marBottom w:val="0"/>
          <w:divBdr>
            <w:top w:val="none" w:sz="0" w:space="0" w:color="auto"/>
            <w:left w:val="none" w:sz="0" w:space="0" w:color="auto"/>
            <w:bottom w:val="none" w:sz="0" w:space="0" w:color="auto"/>
            <w:right w:val="none" w:sz="0" w:space="0" w:color="auto"/>
          </w:divBdr>
        </w:div>
        <w:div w:id="1397623839">
          <w:marLeft w:val="0"/>
          <w:marRight w:val="0"/>
          <w:marTop w:val="0"/>
          <w:marBottom w:val="0"/>
          <w:divBdr>
            <w:top w:val="none" w:sz="0" w:space="0" w:color="auto"/>
            <w:left w:val="none" w:sz="0" w:space="0" w:color="auto"/>
            <w:bottom w:val="none" w:sz="0" w:space="0" w:color="auto"/>
            <w:right w:val="none" w:sz="0" w:space="0" w:color="auto"/>
          </w:divBdr>
        </w:div>
      </w:divsChild>
    </w:div>
    <w:div w:id="688340136">
      <w:bodyDiv w:val="1"/>
      <w:marLeft w:val="0"/>
      <w:marRight w:val="0"/>
      <w:marTop w:val="0"/>
      <w:marBottom w:val="0"/>
      <w:divBdr>
        <w:top w:val="none" w:sz="0" w:space="0" w:color="auto"/>
        <w:left w:val="none" w:sz="0" w:space="0" w:color="auto"/>
        <w:bottom w:val="none" w:sz="0" w:space="0" w:color="auto"/>
        <w:right w:val="none" w:sz="0" w:space="0" w:color="auto"/>
      </w:divBdr>
    </w:div>
    <w:div w:id="703670845">
      <w:bodyDiv w:val="1"/>
      <w:marLeft w:val="0"/>
      <w:marRight w:val="0"/>
      <w:marTop w:val="0"/>
      <w:marBottom w:val="0"/>
      <w:divBdr>
        <w:top w:val="none" w:sz="0" w:space="0" w:color="auto"/>
        <w:left w:val="none" w:sz="0" w:space="0" w:color="auto"/>
        <w:bottom w:val="none" w:sz="0" w:space="0" w:color="auto"/>
        <w:right w:val="none" w:sz="0" w:space="0" w:color="auto"/>
      </w:divBdr>
    </w:div>
    <w:div w:id="920062533">
      <w:bodyDiv w:val="1"/>
      <w:marLeft w:val="0"/>
      <w:marRight w:val="0"/>
      <w:marTop w:val="0"/>
      <w:marBottom w:val="0"/>
      <w:divBdr>
        <w:top w:val="none" w:sz="0" w:space="0" w:color="auto"/>
        <w:left w:val="none" w:sz="0" w:space="0" w:color="auto"/>
        <w:bottom w:val="none" w:sz="0" w:space="0" w:color="auto"/>
        <w:right w:val="none" w:sz="0" w:space="0" w:color="auto"/>
      </w:divBdr>
    </w:div>
    <w:div w:id="1192649679">
      <w:bodyDiv w:val="1"/>
      <w:marLeft w:val="0"/>
      <w:marRight w:val="0"/>
      <w:marTop w:val="0"/>
      <w:marBottom w:val="0"/>
      <w:divBdr>
        <w:top w:val="none" w:sz="0" w:space="0" w:color="auto"/>
        <w:left w:val="none" w:sz="0" w:space="0" w:color="auto"/>
        <w:bottom w:val="none" w:sz="0" w:space="0" w:color="auto"/>
        <w:right w:val="none" w:sz="0" w:space="0" w:color="auto"/>
      </w:divBdr>
    </w:div>
    <w:div w:id="1298991772">
      <w:bodyDiv w:val="1"/>
      <w:marLeft w:val="0"/>
      <w:marRight w:val="0"/>
      <w:marTop w:val="0"/>
      <w:marBottom w:val="0"/>
      <w:divBdr>
        <w:top w:val="none" w:sz="0" w:space="0" w:color="auto"/>
        <w:left w:val="none" w:sz="0" w:space="0" w:color="auto"/>
        <w:bottom w:val="none" w:sz="0" w:space="0" w:color="auto"/>
        <w:right w:val="none" w:sz="0" w:space="0" w:color="auto"/>
      </w:divBdr>
    </w:div>
    <w:div w:id="1445229674">
      <w:bodyDiv w:val="1"/>
      <w:marLeft w:val="0"/>
      <w:marRight w:val="0"/>
      <w:marTop w:val="0"/>
      <w:marBottom w:val="0"/>
      <w:divBdr>
        <w:top w:val="none" w:sz="0" w:space="0" w:color="auto"/>
        <w:left w:val="none" w:sz="0" w:space="0" w:color="auto"/>
        <w:bottom w:val="none" w:sz="0" w:space="0" w:color="auto"/>
        <w:right w:val="none" w:sz="0" w:space="0" w:color="auto"/>
      </w:divBdr>
    </w:div>
    <w:div w:id="1499006497">
      <w:bodyDiv w:val="1"/>
      <w:marLeft w:val="0"/>
      <w:marRight w:val="0"/>
      <w:marTop w:val="0"/>
      <w:marBottom w:val="0"/>
      <w:divBdr>
        <w:top w:val="none" w:sz="0" w:space="0" w:color="auto"/>
        <w:left w:val="none" w:sz="0" w:space="0" w:color="auto"/>
        <w:bottom w:val="none" w:sz="0" w:space="0" w:color="auto"/>
        <w:right w:val="none" w:sz="0" w:space="0" w:color="auto"/>
      </w:divBdr>
    </w:div>
    <w:div w:id="1655644803">
      <w:bodyDiv w:val="1"/>
      <w:marLeft w:val="0"/>
      <w:marRight w:val="0"/>
      <w:marTop w:val="0"/>
      <w:marBottom w:val="0"/>
      <w:divBdr>
        <w:top w:val="none" w:sz="0" w:space="0" w:color="auto"/>
        <w:left w:val="none" w:sz="0" w:space="0" w:color="auto"/>
        <w:bottom w:val="none" w:sz="0" w:space="0" w:color="auto"/>
        <w:right w:val="none" w:sz="0" w:space="0" w:color="auto"/>
      </w:divBdr>
    </w:div>
    <w:div w:id="1661613993">
      <w:bodyDiv w:val="1"/>
      <w:marLeft w:val="0"/>
      <w:marRight w:val="0"/>
      <w:marTop w:val="0"/>
      <w:marBottom w:val="0"/>
      <w:divBdr>
        <w:top w:val="none" w:sz="0" w:space="0" w:color="auto"/>
        <w:left w:val="none" w:sz="0" w:space="0" w:color="auto"/>
        <w:bottom w:val="none" w:sz="0" w:space="0" w:color="auto"/>
        <w:right w:val="none" w:sz="0" w:space="0" w:color="auto"/>
      </w:divBdr>
    </w:div>
    <w:div w:id="1679380084">
      <w:bodyDiv w:val="1"/>
      <w:marLeft w:val="0"/>
      <w:marRight w:val="0"/>
      <w:marTop w:val="0"/>
      <w:marBottom w:val="0"/>
      <w:divBdr>
        <w:top w:val="none" w:sz="0" w:space="0" w:color="auto"/>
        <w:left w:val="none" w:sz="0" w:space="0" w:color="auto"/>
        <w:bottom w:val="none" w:sz="0" w:space="0" w:color="auto"/>
        <w:right w:val="none" w:sz="0" w:space="0" w:color="auto"/>
      </w:divBdr>
      <w:divsChild>
        <w:div w:id="966931408">
          <w:marLeft w:val="0"/>
          <w:marRight w:val="0"/>
          <w:marTop w:val="0"/>
          <w:marBottom w:val="0"/>
          <w:divBdr>
            <w:top w:val="none" w:sz="0" w:space="0" w:color="auto"/>
            <w:left w:val="none" w:sz="0" w:space="0" w:color="auto"/>
            <w:bottom w:val="none" w:sz="0" w:space="0" w:color="auto"/>
            <w:right w:val="none" w:sz="0" w:space="0" w:color="auto"/>
          </w:divBdr>
        </w:div>
        <w:div w:id="973607158">
          <w:marLeft w:val="0"/>
          <w:marRight w:val="0"/>
          <w:marTop w:val="0"/>
          <w:marBottom w:val="0"/>
          <w:divBdr>
            <w:top w:val="none" w:sz="0" w:space="0" w:color="auto"/>
            <w:left w:val="none" w:sz="0" w:space="0" w:color="auto"/>
            <w:bottom w:val="none" w:sz="0" w:space="0" w:color="auto"/>
            <w:right w:val="none" w:sz="0" w:space="0" w:color="auto"/>
          </w:divBdr>
        </w:div>
        <w:div w:id="1100833501">
          <w:marLeft w:val="0"/>
          <w:marRight w:val="0"/>
          <w:marTop w:val="0"/>
          <w:marBottom w:val="0"/>
          <w:divBdr>
            <w:top w:val="none" w:sz="0" w:space="0" w:color="auto"/>
            <w:left w:val="none" w:sz="0" w:space="0" w:color="auto"/>
            <w:bottom w:val="none" w:sz="0" w:space="0" w:color="auto"/>
            <w:right w:val="none" w:sz="0" w:space="0" w:color="auto"/>
          </w:divBdr>
        </w:div>
      </w:divsChild>
    </w:div>
    <w:div w:id="172753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6.png"/><Relationship Id="rId21" Type="http://schemas.openxmlformats.org/officeDocument/2006/relationships/image" Target="media/image7.wmf"/><Relationship Id="rId34" Type="http://schemas.openxmlformats.org/officeDocument/2006/relationships/oleObject" Target="embeddings/oleObject13.bin"/><Relationship Id="rId42" Type="http://schemas.openxmlformats.org/officeDocument/2006/relationships/image" Target="media/image19.png"/><Relationship Id="rId47" Type="http://schemas.openxmlformats.org/officeDocument/2006/relationships/oleObject" Target="embeddings/oleObject16.bin"/><Relationship Id="rId50" Type="http://schemas.openxmlformats.org/officeDocument/2006/relationships/image" Target="media/image25.png"/><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oleObject" Target="embeddings/oleObject15.bin"/><Relationship Id="rId46" Type="http://schemas.openxmlformats.org/officeDocument/2006/relationships/image" Target="media/image23.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1.wmf"/><Relationship Id="rId41" Type="http://schemas.openxmlformats.org/officeDocument/2006/relationships/image" Target="media/image18.png"/><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5.png"/><Relationship Id="rId40" Type="http://schemas.openxmlformats.org/officeDocument/2006/relationships/image" Target="media/image17.png"/><Relationship Id="rId45" Type="http://schemas.openxmlformats.org/officeDocument/2006/relationships/image" Target="media/image22.png"/><Relationship Id="rId53" Type="http://schemas.openxmlformats.org/officeDocument/2006/relationships/oleObject" Target="embeddings/oleObject19.bin"/><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17.bin"/><Relationship Id="rId57"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21.png"/><Relationship Id="rId52" Type="http://schemas.openxmlformats.org/officeDocument/2006/relationships/image" Target="media/image26.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png"/><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footer" Target="footer2.xml"/><Relationship Id="rId8" Type="http://schemas.openxmlformats.org/officeDocument/2006/relationships/endnotes" Target="endnotes.xml"/><Relationship Id="rId51" Type="http://schemas.openxmlformats.org/officeDocument/2006/relationships/oleObject" Target="embeddings/oleObject18.bin"/><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mckerah\Desktop\ieee_tj_template_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561C149-4A4A-4C91-918B-D7AED6EB0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ieee_tj_template_17</Template>
  <TotalTime>520</TotalTime>
  <Pages>6</Pages>
  <Words>4313</Words>
  <Characters>23722</Characters>
  <Application>Microsoft Office Word</Application>
  <DocSecurity>0</DocSecurity>
  <Lines>197</Lines>
  <Paragraphs>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t:lpstr>
      <vt:lpstr></vt:lpstr>
    </vt:vector>
  </TitlesOfParts>
  <Company>IEEE</Company>
  <LinksUpToDate>false</LinksUpToDate>
  <CharactersWithSpaces>27980</CharactersWithSpaces>
  <SharedDoc>false</SharedDoc>
  <HLinks>
    <vt:vector size="60" baseType="variant">
      <vt:variant>
        <vt:i4>65611</vt:i4>
      </vt:variant>
      <vt:variant>
        <vt:i4>33</vt:i4>
      </vt:variant>
      <vt:variant>
        <vt:i4>0</vt:i4>
      </vt:variant>
      <vt:variant>
        <vt:i4>5</vt:i4>
      </vt:variant>
      <vt:variant>
        <vt:lpwstr>http://www.ieee.org/publications_standards/publications/rights/index.html</vt:lpwstr>
      </vt:variant>
      <vt:variant>
        <vt:lpwstr/>
      </vt:variant>
      <vt:variant>
        <vt:i4>1704042</vt:i4>
      </vt:variant>
      <vt:variant>
        <vt:i4>30</vt:i4>
      </vt:variant>
      <vt:variant>
        <vt:i4>0</vt:i4>
      </vt:variant>
      <vt:variant>
        <vt:i4>5</vt:i4>
      </vt:variant>
      <vt:variant>
        <vt:lpwstr>http://www.ieee.org/publications_standards/publications/authors/authors_submission.html</vt:lpwstr>
      </vt:variant>
      <vt:variant>
        <vt:lpwstr/>
      </vt:variant>
      <vt:variant>
        <vt:i4>3670090</vt:i4>
      </vt:variant>
      <vt:variant>
        <vt:i4>27</vt:i4>
      </vt:variant>
      <vt:variant>
        <vt:i4>0</vt:i4>
      </vt:variant>
      <vt:variant>
        <vt:i4>5</vt:i4>
      </vt:variant>
      <vt:variant>
        <vt:lpwstr>http://www.ieee.org/authortools</vt:lpwstr>
      </vt:variant>
      <vt:variant>
        <vt:lpwstr/>
      </vt:variant>
      <vt:variant>
        <vt:i4>2555906</vt:i4>
      </vt:variant>
      <vt:variant>
        <vt:i4>24</vt:i4>
      </vt:variant>
      <vt:variant>
        <vt:i4>0</vt:i4>
      </vt:variant>
      <vt:variant>
        <vt:i4>5</vt:i4>
      </vt:variant>
      <vt:variant>
        <vt:lpwstr>mailto:graphics@ieee.org</vt:lpwstr>
      </vt:variant>
      <vt:variant>
        <vt:lpwstr/>
      </vt:variant>
      <vt:variant>
        <vt:i4>7405581</vt:i4>
      </vt:variant>
      <vt:variant>
        <vt:i4>21</vt:i4>
      </vt:variant>
      <vt:variant>
        <vt:i4>0</vt:i4>
      </vt:variant>
      <vt:variant>
        <vt:i4>5</vt:i4>
      </vt:variant>
      <vt:variant>
        <vt:lpwstr>http://graphicsqc.ieee.org/</vt:lpwstr>
      </vt:variant>
      <vt:variant>
        <vt:lpwstr/>
      </vt:variant>
      <vt:variant>
        <vt:i4>3670090</vt:i4>
      </vt:variant>
      <vt:variant>
        <vt:i4>15</vt:i4>
      </vt:variant>
      <vt:variant>
        <vt:i4>0</vt:i4>
      </vt:variant>
      <vt:variant>
        <vt:i4>5</vt:i4>
      </vt:variant>
      <vt:variant>
        <vt:lpwstr>http://www.ieee.org/authortools</vt:lpwstr>
      </vt:variant>
      <vt:variant>
        <vt:lpwstr/>
      </vt:variant>
      <vt:variant>
        <vt:i4>7602227</vt:i4>
      </vt:variant>
      <vt:variant>
        <vt:i4>9</vt:i4>
      </vt:variant>
      <vt:variant>
        <vt:i4>0</vt:i4>
      </vt:variant>
      <vt:variant>
        <vt:i4>5</vt:i4>
      </vt:variant>
      <vt:variant>
        <vt:lpwstr>https://www.overleaf.com/blog/278-how-to-use-overleaf-with-ieee-collabratec-your-quick-guide-to-getting-started%23.Vp6tpPkrKM9</vt:lpwstr>
      </vt:variant>
      <vt:variant>
        <vt:lpwstr/>
      </vt:variant>
      <vt:variant>
        <vt:i4>3670090</vt:i4>
      </vt:variant>
      <vt:variant>
        <vt:i4>6</vt:i4>
      </vt:variant>
      <vt:variant>
        <vt:i4>0</vt:i4>
      </vt:variant>
      <vt:variant>
        <vt:i4>5</vt:i4>
      </vt:variant>
      <vt:variant>
        <vt:lpwstr>http://www.ieee.org/authortools</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Tiffany McKerahan</dc:creator>
  <cp:lastModifiedBy>ESPE</cp:lastModifiedBy>
  <cp:revision>11</cp:revision>
  <cp:lastPrinted>2024-06-06T15:18:00Z</cp:lastPrinted>
  <dcterms:created xsi:type="dcterms:W3CDTF">2025-08-20T12:55:00Z</dcterms:created>
  <dcterms:modified xsi:type="dcterms:W3CDTF">2025-08-22T13:40:00Z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http://www.zotero.org/styles/applied-energy</vt:lpwstr>
  </property>
  <property fmtid="{D5CDD505-2E9C-101B-9397-08002B2CF9AE}" pid="9" name="Mendeley Recent Style Name 3_1">
    <vt:lpwstr>Applied Energy</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http://csl.mendeley.com/styles/476679711/elsevier-vancouver-2</vt:lpwstr>
  </property>
  <property fmtid="{D5CDD505-2E9C-101B-9397-08002B2CF9AE}" pid="13" name="Mendeley Recent Style Name 5_1">
    <vt:lpwstr>Elsevier Vancouver - Diego Arcos Aviles</vt:lpwstr>
  </property>
  <property fmtid="{D5CDD505-2E9C-101B-9397-08002B2CF9AE}" pid="14" name="Mendeley Recent Style Id 6_1">
    <vt:lpwstr>http://www.zotero.org/styles/energy-conversion-and-management</vt:lpwstr>
  </property>
  <property fmtid="{D5CDD505-2E9C-101B-9397-08002B2CF9AE}" pid="15" name="Mendeley Recent Style Name 6_1">
    <vt:lpwstr>Energy Conversion and Management</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TEquationSection">
    <vt:lpwstr>1</vt:lpwstr>
  </property>
  <property fmtid="{D5CDD505-2E9C-101B-9397-08002B2CF9AE}" pid="23" name="MTWinEqns">
    <vt:bool>true</vt:bool>
  </property>
  <property fmtid="{D5CDD505-2E9C-101B-9397-08002B2CF9AE}" pid="24" name="MTEquationNumber2">
    <vt:lpwstr>(#E1)</vt:lpwstr>
  </property>
  <property fmtid="{D5CDD505-2E9C-101B-9397-08002B2CF9AE}" pid="25" name="GrammarlyDocumentId">
    <vt:lpwstr>151dab86f7851395d2bdcaeafa00a77d8eb96f31e41658cd5f93c85d510b69a7</vt:lpwstr>
  </property>
</Properties>
</file>