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3BF2" w:rsidRPr="004F0E0D" w:rsidRDefault="00C85A6E" w:rsidP="003B7BA4">
      <w:pPr>
        <w:pStyle w:val="NormalWeb"/>
        <w:spacing w:before="0" w:beforeAutospacing="0" w:after="0" w:afterAutospacing="0"/>
        <w:jc w:val="both"/>
        <w:rPr>
          <w:b/>
          <w:sz w:val="34"/>
          <w:szCs w:val="34"/>
        </w:rPr>
      </w:pPr>
      <w:r w:rsidRPr="00C85A6E">
        <w:rPr>
          <w:b/>
          <w:sz w:val="34"/>
          <w:szCs w:val="34"/>
          <w:lang w:val="es-EC"/>
        </w:rPr>
        <w:t xml:space="preserve">APLICACIÓN DE HERRAMIENTAS DE ADMINISTRACIÓN TERRITORIAL EN LA GESTIÓN DE RIESGOS NATURALES. </w:t>
      </w:r>
      <w:r w:rsidRPr="004F0E0D">
        <w:rPr>
          <w:b/>
          <w:sz w:val="34"/>
          <w:szCs w:val="34"/>
        </w:rPr>
        <w:t>CASO</w:t>
      </w:r>
      <w:r w:rsidR="00547CCB" w:rsidRPr="004F0E0D">
        <w:rPr>
          <w:b/>
          <w:sz w:val="34"/>
          <w:szCs w:val="34"/>
        </w:rPr>
        <w:t>,</w:t>
      </w:r>
      <w:r w:rsidRPr="004F0E0D">
        <w:rPr>
          <w:b/>
          <w:sz w:val="34"/>
          <w:szCs w:val="34"/>
        </w:rPr>
        <w:t xml:space="preserve"> VALLE DE LOS CHILLOS - ECUADOR.</w:t>
      </w:r>
    </w:p>
    <w:p w:rsidR="003B7BA4" w:rsidRPr="004F0E0D" w:rsidRDefault="003B7BA4" w:rsidP="003B7BA4">
      <w:pPr>
        <w:pStyle w:val="NormalWeb"/>
        <w:spacing w:before="0" w:beforeAutospacing="0" w:after="0" w:afterAutospacing="0"/>
        <w:jc w:val="both"/>
        <w:rPr>
          <w:b/>
          <w:sz w:val="34"/>
          <w:szCs w:val="34"/>
        </w:rPr>
      </w:pPr>
    </w:p>
    <w:p w:rsidR="008767E3" w:rsidRPr="004F0E0D" w:rsidRDefault="00C85A6E" w:rsidP="003B7BA4">
      <w:pPr>
        <w:pStyle w:val="NormalWeb"/>
        <w:spacing w:before="0" w:beforeAutospacing="0" w:after="0" w:afterAutospacing="0"/>
        <w:jc w:val="both"/>
        <w:rPr>
          <w:i/>
          <w:sz w:val="28"/>
          <w:szCs w:val="28"/>
          <w:lang w:val="es-EC"/>
        </w:rPr>
      </w:pPr>
      <w:r w:rsidRPr="00EA559C">
        <w:rPr>
          <w:i/>
          <w:sz w:val="28"/>
          <w:szCs w:val="28"/>
          <w:lang w:val="en-GB"/>
        </w:rPr>
        <w:t xml:space="preserve">APPLICATION OF LAND ADMINISTRATION TOOLS IN NATURAL RISK MANAGEMENT. </w:t>
      </w:r>
      <w:r w:rsidRPr="00EA559C">
        <w:rPr>
          <w:i/>
          <w:sz w:val="28"/>
          <w:szCs w:val="28"/>
          <w:lang w:val="es-EC"/>
        </w:rPr>
        <w:t>LOS CHILLOS</w:t>
      </w:r>
      <w:r w:rsidR="00D74B45" w:rsidRPr="00EA559C">
        <w:rPr>
          <w:i/>
          <w:sz w:val="28"/>
          <w:szCs w:val="28"/>
          <w:lang w:val="es-EC"/>
        </w:rPr>
        <w:t xml:space="preserve"> VALLEY</w:t>
      </w:r>
      <w:r w:rsidRPr="00EA559C">
        <w:rPr>
          <w:i/>
          <w:sz w:val="28"/>
          <w:szCs w:val="28"/>
          <w:lang w:val="es-EC"/>
        </w:rPr>
        <w:t xml:space="preserve"> </w:t>
      </w:r>
      <w:r w:rsidR="00D74B45" w:rsidRPr="00EA559C">
        <w:rPr>
          <w:i/>
          <w:sz w:val="28"/>
          <w:szCs w:val="28"/>
          <w:lang w:val="es-EC"/>
        </w:rPr>
        <w:t>–</w:t>
      </w:r>
      <w:r w:rsidRPr="00EA559C">
        <w:rPr>
          <w:i/>
          <w:sz w:val="28"/>
          <w:szCs w:val="28"/>
          <w:lang w:val="es-EC"/>
        </w:rPr>
        <w:t xml:space="preserve"> ECUADOR</w:t>
      </w:r>
      <w:r w:rsidR="00D74B45" w:rsidRPr="00EA559C">
        <w:rPr>
          <w:i/>
          <w:sz w:val="28"/>
          <w:szCs w:val="28"/>
          <w:lang w:val="es-EC"/>
        </w:rPr>
        <w:t>, CASE</w:t>
      </w:r>
      <w:r w:rsidRPr="00EA559C">
        <w:rPr>
          <w:i/>
          <w:sz w:val="28"/>
          <w:szCs w:val="28"/>
          <w:lang w:val="es-EC"/>
        </w:rPr>
        <w:t>.</w:t>
      </w:r>
    </w:p>
    <w:p w:rsidR="003B7BA4" w:rsidRPr="004F0E0D" w:rsidRDefault="003B7BA4" w:rsidP="003B7BA4">
      <w:pPr>
        <w:pStyle w:val="NormalWeb"/>
        <w:spacing w:before="0" w:beforeAutospacing="0" w:after="0" w:afterAutospacing="0"/>
        <w:jc w:val="both"/>
        <w:rPr>
          <w:i/>
          <w:sz w:val="28"/>
          <w:szCs w:val="28"/>
          <w:lang w:val="es-EC"/>
        </w:rPr>
      </w:pPr>
    </w:p>
    <w:p w:rsidR="00975208" w:rsidRPr="004F0E0D" w:rsidRDefault="00C85A6E" w:rsidP="003B7BA4">
      <w:pPr>
        <w:pStyle w:val="NormalWeb"/>
        <w:spacing w:before="0" w:beforeAutospacing="0" w:after="0" w:afterAutospacing="0"/>
        <w:jc w:val="both"/>
        <w:rPr>
          <w:i/>
          <w:lang w:val="es-EC"/>
        </w:rPr>
      </w:pPr>
      <w:r w:rsidRPr="00C85A6E">
        <w:rPr>
          <w:b/>
          <w:lang w:val="es-EC"/>
        </w:rPr>
        <w:t>Dennis Paúl Ushiña Huera</w:t>
      </w:r>
    </w:p>
    <w:p w:rsidR="003B7BA4" w:rsidRPr="004F0E0D" w:rsidRDefault="003B7BA4" w:rsidP="003B7BA4">
      <w:pPr>
        <w:pStyle w:val="NormalWeb"/>
        <w:spacing w:before="0" w:beforeAutospacing="0" w:after="0" w:afterAutospacing="0"/>
        <w:jc w:val="both"/>
        <w:rPr>
          <w:i/>
          <w:sz w:val="28"/>
          <w:szCs w:val="28"/>
          <w:lang w:val="es-EC"/>
        </w:rPr>
      </w:pPr>
    </w:p>
    <w:p w:rsidR="008D2CB5" w:rsidRDefault="009037A1" w:rsidP="003E6FF0">
      <w:pPr>
        <w:jc w:val="both"/>
        <w:rPr>
          <w:rStyle w:val="Hipervnculo"/>
          <w:rFonts w:eastAsia="Times New Roman"/>
          <w:i/>
          <w:sz w:val="20"/>
          <w:lang w:val="es-EC" w:eastAsia="tr-TR"/>
        </w:rPr>
      </w:pPr>
      <w:r w:rsidRPr="004F0E0D">
        <w:rPr>
          <w:rFonts w:eastAsia="Times New Roman"/>
          <w:i/>
          <w:color w:val="000000"/>
          <w:lang w:val="es-EC" w:eastAsia="tr-TR"/>
        </w:rPr>
        <w:t xml:space="preserve">Carrera </w:t>
      </w:r>
      <w:r>
        <w:rPr>
          <w:rFonts w:eastAsia="Times New Roman"/>
          <w:i/>
          <w:color w:val="000000"/>
          <w:lang w:val="es-EC" w:eastAsia="tr-TR"/>
        </w:rPr>
        <w:t>d</w:t>
      </w:r>
      <w:r w:rsidRPr="004F0E0D">
        <w:rPr>
          <w:rFonts w:eastAsia="Times New Roman"/>
          <w:i/>
          <w:color w:val="000000"/>
          <w:lang w:val="es-EC" w:eastAsia="tr-TR"/>
        </w:rPr>
        <w:t xml:space="preserve">e Ingeniería Geográfica </w:t>
      </w:r>
      <w:r>
        <w:rPr>
          <w:rFonts w:eastAsia="Times New Roman"/>
          <w:i/>
          <w:color w:val="000000"/>
          <w:lang w:val="es-EC" w:eastAsia="tr-TR"/>
        </w:rPr>
        <w:t>y</w:t>
      </w:r>
      <w:r w:rsidRPr="004F0E0D">
        <w:rPr>
          <w:rFonts w:eastAsia="Times New Roman"/>
          <w:i/>
          <w:color w:val="000000"/>
          <w:lang w:val="es-EC" w:eastAsia="tr-TR"/>
        </w:rPr>
        <w:t xml:space="preserve"> </w:t>
      </w:r>
      <w:r>
        <w:rPr>
          <w:rFonts w:eastAsia="Times New Roman"/>
          <w:i/>
          <w:color w:val="000000"/>
          <w:lang w:val="es-EC" w:eastAsia="tr-TR"/>
        </w:rPr>
        <w:t>d</w:t>
      </w:r>
      <w:r w:rsidRPr="004F0E0D">
        <w:rPr>
          <w:rFonts w:eastAsia="Times New Roman"/>
          <w:i/>
          <w:color w:val="000000"/>
          <w:lang w:val="es-EC" w:eastAsia="tr-TR"/>
        </w:rPr>
        <w:t xml:space="preserve">el Medio Ambiente, Departamento </w:t>
      </w:r>
      <w:r w:rsidR="00DA0D0B">
        <w:rPr>
          <w:rFonts w:eastAsia="Times New Roman"/>
          <w:i/>
          <w:color w:val="000000"/>
          <w:lang w:val="es-EC" w:eastAsia="tr-TR"/>
        </w:rPr>
        <w:t>d</w:t>
      </w:r>
      <w:r w:rsidRPr="004F0E0D">
        <w:rPr>
          <w:rFonts w:eastAsia="Times New Roman"/>
          <w:i/>
          <w:color w:val="000000"/>
          <w:lang w:val="es-EC" w:eastAsia="tr-TR"/>
        </w:rPr>
        <w:t xml:space="preserve">e Ciencias </w:t>
      </w:r>
      <w:r w:rsidR="00DA0D0B">
        <w:rPr>
          <w:rFonts w:eastAsia="Times New Roman"/>
          <w:i/>
          <w:color w:val="000000"/>
          <w:lang w:val="es-EC" w:eastAsia="tr-TR"/>
        </w:rPr>
        <w:t>d</w:t>
      </w:r>
      <w:r w:rsidRPr="004F0E0D">
        <w:rPr>
          <w:rFonts w:eastAsia="Times New Roman"/>
          <w:i/>
          <w:color w:val="000000"/>
          <w:lang w:val="es-EC" w:eastAsia="tr-TR"/>
        </w:rPr>
        <w:t xml:space="preserve">e </w:t>
      </w:r>
      <w:r w:rsidR="00DA0D0B">
        <w:rPr>
          <w:rFonts w:eastAsia="Times New Roman"/>
          <w:i/>
          <w:color w:val="000000"/>
          <w:lang w:val="es-EC" w:eastAsia="tr-TR"/>
        </w:rPr>
        <w:t>l</w:t>
      </w:r>
      <w:r w:rsidRPr="004F0E0D">
        <w:rPr>
          <w:rFonts w:eastAsia="Times New Roman"/>
          <w:i/>
          <w:color w:val="000000"/>
          <w:lang w:val="es-EC" w:eastAsia="tr-TR"/>
        </w:rPr>
        <w:t xml:space="preserve">a Tierra </w:t>
      </w:r>
      <w:r w:rsidR="00DA0D0B">
        <w:rPr>
          <w:rFonts w:eastAsia="Times New Roman"/>
          <w:i/>
          <w:color w:val="000000"/>
          <w:lang w:val="es-EC" w:eastAsia="tr-TR"/>
        </w:rPr>
        <w:t>yl</w:t>
      </w:r>
      <w:r w:rsidRPr="004F0E0D">
        <w:rPr>
          <w:rFonts w:eastAsia="Times New Roman"/>
          <w:i/>
          <w:color w:val="000000"/>
          <w:lang w:val="es-EC" w:eastAsia="tr-TR"/>
        </w:rPr>
        <w:t xml:space="preserve">a Construcción, Universidad </w:t>
      </w:r>
      <w:r w:rsidR="00DA0D0B">
        <w:rPr>
          <w:rFonts w:eastAsia="Times New Roman"/>
          <w:i/>
          <w:color w:val="000000"/>
          <w:lang w:val="es-EC" w:eastAsia="tr-TR"/>
        </w:rPr>
        <w:t>d</w:t>
      </w:r>
      <w:r w:rsidRPr="004F0E0D">
        <w:rPr>
          <w:rFonts w:eastAsia="Times New Roman"/>
          <w:i/>
          <w:color w:val="000000"/>
          <w:lang w:val="es-EC" w:eastAsia="tr-TR"/>
        </w:rPr>
        <w:t xml:space="preserve">e </w:t>
      </w:r>
      <w:r w:rsidR="00DA0D0B">
        <w:rPr>
          <w:rFonts w:eastAsia="Times New Roman"/>
          <w:i/>
          <w:color w:val="000000"/>
          <w:lang w:val="es-EC" w:eastAsia="tr-TR"/>
        </w:rPr>
        <w:t>l</w:t>
      </w:r>
      <w:r w:rsidRPr="004F0E0D">
        <w:rPr>
          <w:rFonts w:eastAsia="Times New Roman"/>
          <w:i/>
          <w:color w:val="000000"/>
          <w:lang w:val="es-EC" w:eastAsia="tr-TR"/>
        </w:rPr>
        <w:t xml:space="preserve">as Fuerzas Armadas </w:t>
      </w:r>
      <w:r w:rsidR="007E1E28" w:rsidRPr="004F0E0D">
        <w:rPr>
          <w:rFonts w:eastAsia="Times New Roman"/>
          <w:i/>
          <w:color w:val="000000"/>
          <w:lang w:val="es-EC" w:eastAsia="tr-TR"/>
        </w:rPr>
        <w:t xml:space="preserve">ESPE. Av. Gral Rumiñahui s/n Sangolquí, Ecuador. </w:t>
      </w:r>
      <w:hyperlink r:id="rId9" w:history="1">
        <w:r w:rsidR="007E1E28" w:rsidRPr="004F0E0D">
          <w:rPr>
            <w:rStyle w:val="Hipervnculo"/>
            <w:rFonts w:eastAsia="Times New Roman"/>
            <w:i/>
            <w:sz w:val="20"/>
            <w:lang w:val="es-EC" w:eastAsia="tr-TR"/>
          </w:rPr>
          <w:t>dpushina@hotmail.com</w:t>
        </w:r>
      </w:hyperlink>
    </w:p>
    <w:p w:rsidR="009037A1" w:rsidRDefault="009037A1" w:rsidP="003E6FF0">
      <w:pPr>
        <w:jc w:val="both"/>
        <w:rPr>
          <w:rStyle w:val="Hipervnculo"/>
          <w:rFonts w:eastAsia="Times New Roman"/>
          <w:i/>
          <w:sz w:val="20"/>
          <w:lang w:val="es-EC" w:eastAsia="tr-TR"/>
        </w:rPr>
      </w:pPr>
    </w:p>
    <w:p w:rsidR="00D0652A" w:rsidRDefault="00D0652A" w:rsidP="003E6FF0">
      <w:pPr>
        <w:jc w:val="both"/>
        <w:rPr>
          <w:rStyle w:val="Hipervnculo"/>
          <w:rFonts w:eastAsia="Times New Roman"/>
          <w:i/>
          <w:sz w:val="20"/>
          <w:lang w:val="es-EC" w:eastAsia="tr-TR"/>
        </w:rPr>
      </w:pPr>
    </w:p>
    <w:p w:rsidR="00D0652A" w:rsidRDefault="00D0652A" w:rsidP="003E6FF0">
      <w:pPr>
        <w:jc w:val="both"/>
        <w:rPr>
          <w:rStyle w:val="Hipervnculo"/>
          <w:rFonts w:eastAsia="Times New Roman"/>
          <w:sz w:val="22"/>
          <w:szCs w:val="22"/>
          <w:lang w:val="es-EC" w:eastAsia="tr-TR"/>
        </w:rPr>
      </w:pPr>
      <w:r>
        <w:rPr>
          <w:rStyle w:val="Hipervnculo"/>
          <w:rFonts w:eastAsia="Times New Roman"/>
          <w:sz w:val="22"/>
          <w:szCs w:val="22"/>
          <w:lang w:val="es-EC" w:eastAsia="tr-TR"/>
        </w:rPr>
        <w:t xml:space="preserve">Recibido: </w:t>
      </w:r>
      <w:r w:rsidR="00FB7D61">
        <w:rPr>
          <w:rStyle w:val="Hipervnculo"/>
          <w:rFonts w:eastAsia="Times New Roman"/>
          <w:sz w:val="22"/>
          <w:szCs w:val="22"/>
          <w:lang w:val="es-EC" w:eastAsia="tr-TR"/>
        </w:rPr>
        <w:t>25 de septiembre 2019</w:t>
      </w:r>
      <w:r>
        <w:rPr>
          <w:rStyle w:val="Hipervnculo"/>
          <w:rFonts w:eastAsia="Times New Roman"/>
          <w:sz w:val="22"/>
          <w:szCs w:val="22"/>
          <w:lang w:val="es-EC" w:eastAsia="tr-TR"/>
        </w:rPr>
        <w:t xml:space="preserve">                         /</w:t>
      </w:r>
      <w:r w:rsidR="00A10D6E">
        <w:rPr>
          <w:rStyle w:val="Hipervnculo"/>
          <w:rFonts w:eastAsia="Times New Roman"/>
          <w:sz w:val="22"/>
          <w:szCs w:val="22"/>
          <w:lang w:val="es-EC" w:eastAsia="tr-TR"/>
        </w:rPr>
        <w:t xml:space="preserve">  </w:t>
      </w:r>
      <w:r>
        <w:rPr>
          <w:rStyle w:val="Hipervnculo"/>
          <w:rFonts w:eastAsia="Times New Roman"/>
          <w:sz w:val="22"/>
          <w:szCs w:val="22"/>
          <w:lang w:val="es-EC" w:eastAsia="tr-TR"/>
        </w:rPr>
        <w:t>Aceptado:</w:t>
      </w:r>
      <w:r w:rsidR="00FB7D61">
        <w:rPr>
          <w:rStyle w:val="Hipervnculo"/>
          <w:rFonts w:eastAsia="Times New Roman"/>
          <w:sz w:val="22"/>
          <w:szCs w:val="22"/>
          <w:lang w:val="es-EC" w:eastAsia="tr-TR"/>
        </w:rPr>
        <w:t xml:space="preserve">  1</w:t>
      </w:r>
      <w:r w:rsidR="00A10D6E">
        <w:rPr>
          <w:rStyle w:val="Hipervnculo"/>
          <w:rFonts w:eastAsia="Times New Roman"/>
          <w:sz w:val="22"/>
          <w:szCs w:val="22"/>
          <w:lang w:val="es-EC" w:eastAsia="tr-TR"/>
        </w:rPr>
        <w:t>1</w:t>
      </w:r>
      <w:bookmarkStart w:id="0" w:name="_GoBack"/>
      <w:bookmarkEnd w:id="0"/>
      <w:r w:rsidR="00FB7D61">
        <w:rPr>
          <w:rStyle w:val="Hipervnculo"/>
          <w:rFonts w:eastAsia="Times New Roman"/>
          <w:sz w:val="22"/>
          <w:szCs w:val="22"/>
          <w:lang w:val="es-EC" w:eastAsia="tr-TR"/>
        </w:rPr>
        <w:t xml:space="preserve"> de diciembre 2019</w:t>
      </w:r>
    </w:p>
    <w:p w:rsidR="003D5A4A" w:rsidRDefault="003D5A4A" w:rsidP="003E6FF0">
      <w:pPr>
        <w:jc w:val="both"/>
        <w:rPr>
          <w:rStyle w:val="Hipervnculo"/>
          <w:rFonts w:eastAsia="Times New Roman"/>
          <w:sz w:val="22"/>
          <w:szCs w:val="22"/>
          <w:lang w:val="es-EC" w:eastAsia="tr-TR"/>
        </w:rPr>
      </w:pPr>
    </w:p>
    <w:p w:rsidR="009037A1" w:rsidRPr="00D0652A" w:rsidRDefault="009037A1" w:rsidP="003E6FF0">
      <w:pPr>
        <w:jc w:val="both"/>
        <w:rPr>
          <w:sz w:val="22"/>
          <w:szCs w:val="22"/>
          <w:lang w:val="es-EC"/>
        </w:rPr>
      </w:pPr>
    </w:p>
    <w:p w:rsidR="000E631D" w:rsidRDefault="000E631D" w:rsidP="003B7BA4">
      <w:pPr>
        <w:pStyle w:val="Els-Abstract-head"/>
        <w:pBdr>
          <w:top w:val="single" w:sz="4" w:space="18" w:color="auto"/>
        </w:pBdr>
        <w:spacing w:after="0" w:line="240" w:lineRule="auto"/>
        <w:jc w:val="center"/>
        <w:rPr>
          <w:sz w:val="22"/>
          <w:szCs w:val="22"/>
          <w:lang w:val="es-EC"/>
        </w:rPr>
      </w:pPr>
      <w:r w:rsidRPr="00667441">
        <w:rPr>
          <w:sz w:val="22"/>
          <w:szCs w:val="22"/>
          <w:lang w:val="es-EC"/>
        </w:rPr>
        <w:t>RESUMEN</w:t>
      </w:r>
    </w:p>
    <w:p w:rsidR="003B7BA4" w:rsidRPr="003B7BA4" w:rsidRDefault="003B7BA4" w:rsidP="003B7BA4">
      <w:pPr>
        <w:rPr>
          <w:lang w:val="es-EC"/>
        </w:rPr>
      </w:pPr>
    </w:p>
    <w:p w:rsidR="007E1E28" w:rsidRDefault="007E1E28" w:rsidP="003B7BA4">
      <w:pPr>
        <w:pStyle w:val="BasicParagraph"/>
        <w:suppressAutoHyphens/>
        <w:spacing w:line="240" w:lineRule="auto"/>
        <w:jc w:val="both"/>
        <w:rPr>
          <w:rFonts w:ascii="Times New Roman" w:hAnsi="Times New Roman" w:cs="Times New Roman"/>
          <w:sz w:val="22"/>
          <w:szCs w:val="22"/>
          <w:lang w:val="es-EC"/>
        </w:rPr>
      </w:pPr>
      <w:r w:rsidRPr="007E1E28">
        <w:rPr>
          <w:rFonts w:ascii="Times New Roman" w:hAnsi="Times New Roman" w:cs="Times New Roman"/>
          <w:sz w:val="22"/>
          <w:szCs w:val="22"/>
          <w:lang w:val="es-EC"/>
        </w:rPr>
        <w:t>El aumento en</w:t>
      </w:r>
      <w:r w:rsidR="006700D8">
        <w:rPr>
          <w:rFonts w:ascii="Times New Roman" w:hAnsi="Times New Roman" w:cs="Times New Roman"/>
          <w:sz w:val="22"/>
          <w:szCs w:val="22"/>
          <w:lang w:val="es-EC"/>
        </w:rPr>
        <w:t xml:space="preserve"> la frecuencia y magnitud de</w:t>
      </w:r>
      <w:r w:rsidRPr="007E1E28">
        <w:rPr>
          <w:rFonts w:ascii="Times New Roman" w:hAnsi="Times New Roman" w:cs="Times New Roman"/>
          <w:sz w:val="22"/>
          <w:szCs w:val="22"/>
          <w:lang w:val="es-EC"/>
        </w:rPr>
        <w:t xml:space="preserve"> desastres naturales </w:t>
      </w:r>
      <w:r w:rsidR="00076708">
        <w:rPr>
          <w:rFonts w:ascii="Times New Roman" w:hAnsi="Times New Roman" w:cs="Times New Roman"/>
          <w:sz w:val="22"/>
          <w:szCs w:val="22"/>
          <w:lang w:val="es-EC"/>
        </w:rPr>
        <w:t xml:space="preserve">alrededor del mundo </w:t>
      </w:r>
      <w:r w:rsidRPr="007E1E28">
        <w:rPr>
          <w:rFonts w:ascii="Times New Roman" w:hAnsi="Times New Roman" w:cs="Times New Roman"/>
          <w:sz w:val="22"/>
          <w:szCs w:val="22"/>
          <w:lang w:val="es-EC"/>
        </w:rPr>
        <w:t xml:space="preserve">debido a factores antrópicos </w:t>
      </w:r>
      <w:r w:rsidR="006700D8">
        <w:rPr>
          <w:rFonts w:ascii="Times New Roman" w:hAnsi="Times New Roman" w:cs="Times New Roman"/>
          <w:sz w:val="22"/>
          <w:szCs w:val="22"/>
          <w:lang w:val="es-EC"/>
        </w:rPr>
        <w:t>ha ocasionado</w:t>
      </w:r>
      <w:r w:rsidRPr="007E1E28">
        <w:rPr>
          <w:rFonts w:ascii="Times New Roman" w:hAnsi="Times New Roman" w:cs="Times New Roman"/>
          <w:sz w:val="22"/>
          <w:szCs w:val="22"/>
          <w:lang w:val="es-EC"/>
        </w:rPr>
        <w:t xml:space="preserve"> </w:t>
      </w:r>
      <w:r w:rsidR="006700D8">
        <w:rPr>
          <w:rFonts w:ascii="Times New Roman" w:hAnsi="Times New Roman" w:cs="Times New Roman"/>
          <w:sz w:val="22"/>
          <w:szCs w:val="22"/>
          <w:lang w:val="es-EC"/>
        </w:rPr>
        <w:t xml:space="preserve">grandes </w:t>
      </w:r>
      <w:r w:rsidRPr="007E1E28">
        <w:rPr>
          <w:rFonts w:ascii="Times New Roman" w:hAnsi="Times New Roman" w:cs="Times New Roman"/>
          <w:sz w:val="22"/>
          <w:szCs w:val="22"/>
          <w:lang w:val="es-EC"/>
        </w:rPr>
        <w:t xml:space="preserve">pérdidas </w:t>
      </w:r>
      <w:r w:rsidR="003520E7" w:rsidRPr="007E1E28">
        <w:rPr>
          <w:rFonts w:ascii="Times New Roman" w:hAnsi="Times New Roman" w:cs="Times New Roman"/>
          <w:sz w:val="22"/>
          <w:szCs w:val="22"/>
          <w:lang w:val="es-EC"/>
        </w:rPr>
        <w:t>económicas y</w:t>
      </w:r>
      <w:r w:rsidRPr="007E1E28">
        <w:rPr>
          <w:rFonts w:ascii="Times New Roman" w:hAnsi="Times New Roman" w:cs="Times New Roman"/>
          <w:sz w:val="22"/>
          <w:szCs w:val="22"/>
          <w:lang w:val="es-EC"/>
        </w:rPr>
        <w:t xml:space="preserve"> afectaci</w:t>
      </w:r>
      <w:r w:rsidR="006700D8">
        <w:rPr>
          <w:rFonts w:ascii="Times New Roman" w:hAnsi="Times New Roman" w:cs="Times New Roman"/>
          <w:sz w:val="22"/>
          <w:szCs w:val="22"/>
          <w:lang w:val="es-EC"/>
        </w:rPr>
        <w:t>ones a la salud y seguridad. Uno</w:t>
      </w:r>
      <w:r w:rsidRPr="007E1E28">
        <w:rPr>
          <w:rFonts w:ascii="Times New Roman" w:hAnsi="Times New Roman" w:cs="Times New Roman"/>
          <w:sz w:val="22"/>
          <w:szCs w:val="22"/>
          <w:lang w:val="es-EC"/>
        </w:rPr>
        <w:t xml:space="preserve"> de </w:t>
      </w:r>
      <w:r w:rsidR="006700D8">
        <w:rPr>
          <w:rFonts w:ascii="Times New Roman" w:hAnsi="Times New Roman" w:cs="Times New Roman"/>
          <w:sz w:val="22"/>
          <w:szCs w:val="22"/>
          <w:lang w:val="es-EC"/>
        </w:rPr>
        <w:t>los tratamientos más efectivos para disminuir los</w:t>
      </w:r>
      <w:r w:rsidRPr="007E1E28">
        <w:rPr>
          <w:rFonts w:ascii="Times New Roman" w:hAnsi="Times New Roman" w:cs="Times New Roman"/>
          <w:sz w:val="22"/>
          <w:szCs w:val="22"/>
          <w:lang w:val="es-EC"/>
        </w:rPr>
        <w:t xml:space="preserve"> riesgos asociados a estos eventos es la prevención </w:t>
      </w:r>
      <w:r w:rsidR="00D37A44">
        <w:rPr>
          <w:rFonts w:ascii="Times New Roman" w:hAnsi="Times New Roman" w:cs="Times New Roman"/>
          <w:sz w:val="22"/>
          <w:szCs w:val="22"/>
          <w:lang w:val="es-EC"/>
        </w:rPr>
        <w:t>mediante</w:t>
      </w:r>
      <w:r w:rsidRPr="007E1E28">
        <w:rPr>
          <w:rFonts w:ascii="Times New Roman" w:hAnsi="Times New Roman" w:cs="Times New Roman"/>
          <w:sz w:val="22"/>
          <w:szCs w:val="22"/>
          <w:lang w:val="es-EC"/>
        </w:rPr>
        <w:t xml:space="preserve"> una adecuada planificación, </w:t>
      </w:r>
      <w:r w:rsidR="005C3C44">
        <w:rPr>
          <w:rFonts w:ascii="Times New Roman" w:hAnsi="Times New Roman" w:cs="Times New Roman"/>
          <w:sz w:val="22"/>
          <w:szCs w:val="22"/>
          <w:lang w:val="es-EC"/>
        </w:rPr>
        <w:t>donde</w:t>
      </w:r>
      <w:r w:rsidRPr="007E1E28">
        <w:rPr>
          <w:rFonts w:ascii="Times New Roman" w:hAnsi="Times New Roman" w:cs="Times New Roman"/>
          <w:sz w:val="22"/>
          <w:szCs w:val="22"/>
          <w:lang w:val="es-EC"/>
        </w:rPr>
        <w:t xml:space="preserve"> la administración territorial </w:t>
      </w:r>
      <w:r w:rsidR="00BA0C45">
        <w:rPr>
          <w:rFonts w:ascii="Times New Roman" w:hAnsi="Times New Roman" w:cs="Times New Roman"/>
          <w:sz w:val="22"/>
          <w:szCs w:val="22"/>
          <w:lang w:val="es-EC"/>
        </w:rPr>
        <w:t xml:space="preserve">es capaz de proveer </w:t>
      </w:r>
      <w:r w:rsidRPr="007E1E28">
        <w:rPr>
          <w:rFonts w:ascii="Times New Roman" w:hAnsi="Times New Roman" w:cs="Times New Roman"/>
          <w:sz w:val="22"/>
          <w:szCs w:val="22"/>
          <w:lang w:val="es-EC"/>
        </w:rPr>
        <w:t xml:space="preserve">información </w:t>
      </w:r>
      <w:r w:rsidR="00076708">
        <w:rPr>
          <w:rFonts w:ascii="Times New Roman" w:hAnsi="Times New Roman" w:cs="Times New Roman"/>
          <w:sz w:val="22"/>
          <w:szCs w:val="22"/>
          <w:lang w:val="es-EC"/>
        </w:rPr>
        <w:t>y</w:t>
      </w:r>
      <w:r w:rsidR="005C3C44">
        <w:rPr>
          <w:rFonts w:ascii="Times New Roman" w:hAnsi="Times New Roman" w:cs="Times New Roman"/>
          <w:sz w:val="22"/>
          <w:szCs w:val="22"/>
          <w:lang w:val="es-EC"/>
        </w:rPr>
        <w:t xml:space="preserve"> herramientas como </w:t>
      </w:r>
      <w:r w:rsidR="00E01E7D">
        <w:rPr>
          <w:rFonts w:ascii="Times New Roman" w:hAnsi="Times New Roman" w:cs="Times New Roman"/>
          <w:sz w:val="22"/>
          <w:szCs w:val="22"/>
          <w:lang w:val="es-EC"/>
        </w:rPr>
        <w:t>infraestructuras de datos,</w:t>
      </w:r>
      <w:r w:rsidRPr="007E1E28">
        <w:rPr>
          <w:rFonts w:ascii="Times New Roman" w:hAnsi="Times New Roman" w:cs="Times New Roman"/>
          <w:sz w:val="22"/>
          <w:szCs w:val="22"/>
          <w:lang w:val="es-EC"/>
        </w:rPr>
        <w:t xml:space="preserve"> marcos legales y políticas</w:t>
      </w:r>
      <w:r w:rsidR="000C0220">
        <w:rPr>
          <w:rFonts w:ascii="Times New Roman" w:hAnsi="Times New Roman" w:cs="Times New Roman"/>
          <w:sz w:val="22"/>
          <w:szCs w:val="22"/>
          <w:lang w:val="es-EC"/>
        </w:rPr>
        <w:t xml:space="preserve">. El presente trabajo </w:t>
      </w:r>
      <w:r w:rsidR="00D37A44">
        <w:rPr>
          <w:rFonts w:ascii="Times New Roman" w:hAnsi="Times New Roman" w:cs="Times New Roman"/>
          <w:sz w:val="22"/>
          <w:szCs w:val="22"/>
          <w:lang w:val="es-EC"/>
        </w:rPr>
        <w:t>aplicó</w:t>
      </w:r>
      <w:r w:rsidRPr="007E1E28">
        <w:rPr>
          <w:rFonts w:ascii="Times New Roman" w:hAnsi="Times New Roman" w:cs="Times New Roman"/>
          <w:sz w:val="22"/>
          <w:szCs w:val="22"/>
          <w:lang w:val="es-EC"/>
        </w:rPr>
        <w:t xml:space="preserve"> </w:t>
      </w:r>
      <w:r w:rsidR="006700D8" w:rsidRPr="007E1E28">
        <w:rPr>
          <w:rFonts w:ascii="Times New Roman" w:hAnsi="Times New Roman" w:cs="Times New Roman"/>
          <w:sz w:val="22"/>
          <w:szCs w:val="22"/>
          <w:lang w:val="es-EC"/>
        </w:rPr>
        <w:t>dentro del proceso de gestión del riesgo</w:t>
      </w:r>
      <w:r w:rsidR="00C74690">
        <w:rPr>
          <w:rFonts w:ascii="Times New Roman" w:hAnsi="Times New Roman" w:cs="Times New Roman"/>
          <w:sz w:val="22"/>
          <w:szCs w:val="22"/>
          <w:lang w:val="es-EC"/>
        </w:rPr>
        <w:t>,</w:t>
      </w:r>
      <w:r w:rsidR="003E1B66">
        <w:rPr>
          <w:rFonts w:ascii="Times New Roman" w:hAnsi="Times New Roman" w:cs="Times New Roman"/>
          <w:sz w:val="22"/>
          <w:szCs w:val="22"/>
          <w:lang w:val="es-EC"/>
        </w:rPr>
        <w:t xml:space="preserve"> </w:t>
      </w:r>
      <w:r w:rsidR="006700D8">
        <w:rPr>
          <w:rFonts w:ascii="Times New Roman" w:hAnsi="Times New Roman" w:cs="Times New Roman"/>
          <w:sz w:val="22"/>
          <w:szCs w:val="22"/>
          <w:lang w:val="es-EC"/>
        </w:rPr>
        <w:t xml:space="preserve">las </w:t>
      </w:r>
      <w:r w:rsidRPr="007E1E28">
        <w:rPr>
          <w:rFonts w:ascii="Times New Roman" w:hAnsi="Times New Roman" w:cs="Times New Roman"/>
          <w:sz w:val="22"/>
          <w:szCs w:val="22"/>
          <w:lang w:val="es-EC"/>
        </w:rPr>
        <w:t xml:space="preserve">herramientas proporcionadas por la administración de tierras, </w:t>
      </w:r>
      <w:r w:rsidR="006700D8">
        <w:rPr>
          <w:rFonts w:ascii="Times New Roman" w:hAnsi="Times New Roman" w:cs="Times New Roman"/>
          <w:sz w:val="22"/>
          <w:szCs w:val="22"/>
          <w:lang w:val="es-EC"/>
        </w:rPr>
        <w:t>mediante el</w:t>
      </w:r>
      <w:r w:rsidRPr="007E1E28">
        <w:rPr>
          <w:rFonts w:ascii="Times New Roman" w:hAnsi="Times New Roman" w:cs="Times New Roman"/>
          <w:sz w:val="22"/>
          <w:szCs w:val="22"/>
          <w:lang w:val="es-EC"/>
        </w:rPr>
        <w:t xml:space="preserve"> diseño de una metodología</w:t>
      </w:r>
      <w:r w:rsidR="00E01E7D">
        <w:rPr>
          <w:rFonts w:ascii="Times New Roman" w:hAnsi="Times New Roman" w:cs="Times New Roman"/>
          <w:sz w:val="22"/>
          <w:szCs w:val="22"/>
          <w:lang w:val="es-EC"/>
        </w:rPr>
        <w:t xml:space="preserve"> para la gestión de riesgos</w:t>
      </w:r>
      <w:r w:rsidRPr="007E1E28">
        <w:rPr>
          <w:rFonts w:ascii="Times New Roman" w:hAnsi="Times New Roman" w:cs="Times New Roman"/>
          <w:sz w:val="22"/>
          <w:szCs w:val="22"/>
          <w:lang w:val="es-EC"/>
        </w:rPr>
        <w:t>, su implementación en parte de las posibles áreas afectadas por un eventual lahar del volcán Cotopaxi en el valle de Los Chillos y posterior generación de una</w:t>
      </w:r>
      <w:r w:rsidR="00D37A44">
        <w:rPr>
          <w:rFonts w:ascii="Times New Roman" w:hAnsi="Times New Roman" w:cs="Times New Roman"/>
          <w:sz w:val="22"/>
          <w:szCs w:val="22"/>
          <w:lang w:val="es-EC"/>
        </w:rPr>
        <w:t xml:space="preserve"> primera</w:t>
      </w:r>
      <w:r w:rsidRPr="007E1E28">
        <w:rPr>
          <w:rFonts w:ascii="Times New Roman" w:hAnsi="Times New Roman" w:cs="Times New Roman"/>
          <w:sz w:val="22"/>
          <w:szCs w:val="22"/>
          <w:lang w:val="es-EC"/>
        </w:rPr>
        <w:t xml:space="preserve"> versión del Sistema Catastral de Riesgos (SCR). La metodología propuesta</w:t>
      </w:r>
      <w:r w:rsidR="003E1B66">
        <w:rPr>
          <w:rFonts w:ascii="Times New Roman" w:hAnsi="Times New Roman" w:cs="Times New Roman"/>
          <w:sz w:val="22"/>
          <w:szCs w:val="22"/>
          <w:lang w:val="es-EC"/>
        </w:rPr>
        <w:t xml:space="preserve"> permite </w:t>
      </w:r>
      <w:r w:rsidR="003E1B66" w:rsidRPr="007E1E28">
        <w:rPr>
          <w:rFonts w:ascii="Times New Roman" w:hAnsi="Times New Roman" w:cs="Times New Roman"/>
          <w:sz w:val="22"/>
          <w:szCs w:val="22"/>
          <w:lang w:val="es-EC"/>
        </w:rPr>
        <w:t>identificar, evaluar, valorar y mitigar el riesgo</w:t>
      </w:r>
      <w:r w:rsidR="00C74690">
        <w:rPr>
          <w:rFonts w:ascii="Times New Roman" w:hAnsi="Times New Roman" w:cs="Times New Roman"/>
          <w:sz w:val="22"/>
          <w:szCs w:val="22"/>
          <w:lang w:val="es-EC"/>
        </w:rPr>
        <w:t xml:space="preserve">, para </w:t>
      </w:r>
      <w:r w:rsidR="003E1B66">
        <w:rPr>
          <w:rFonts w:ascii="Times New Roman" w:hAnsi="Times New Roman" w:cs="Times New Roman"/>
          <w:sz w:val="22"/>
          <w:szCs w:val="22"/>
          <w:lang w:val="es-EC"/>
        </w:rPr>
        <w:t>su elaboración se tomó</w:t>
      </w:r>
      <w:r w:rsidRPr="007E1E28">
        <w:rPr>
          <w:rFonts w:ascii="Times New Roman" w:hAnsi="Times New Roman" w:cs="Times New Roman"/>
          <w:sz w:val="22"/>
          <w:szCs w:val="22"/>
          <w:lang w:val="es-EC"/>
        </w:rPr>
        <w:t xml:space="preserve"> como base el proceso </w:t>
      </w:r>
      <w:r w:rsidR="00C74690">
        <w:rPr>
          <w:rFonts w:ascii="Times New Roman" w:hAnsi="Times New Roman" w:cs="Times New Roman"/>
          <w:sz w:val="22"/>
          <w:szCs w:val="22"/>
          <w:lang w:val="es-EC"/>
        </w:rPr>
        <w:t>de</w:t>
      </w:r>
      <w:r w:rsidRPr="007E1E28">
        <w:rPr>
          <w:rFonts w:ascii="Times New Roman" w:hAnsi="Times New Roman" w:cs="Times New Roman"/>
          <w:sz w:val="22"/>
          <w:szCs w:val="22"/>
          <w:lang w:val="es-EC"/>
        </w:rPr>
        <w:t xml:space="preserve"> gestión de riesgos dado en la AS/NZS ISO 31000:</w:t>
      </w:r>
      <w:r w:rsidRPr="005C3C44">
        <w:rPr>
          <w:rFonts w:ascii="Times New Roman" w:hAnsi="Times New Roman" w:cs="Times New Roman"/>
          <w:sz w:val="22"/>
          <w:szCs w:val="22"/>
          <w:lang w:val="es-EC"/>
        </w:rPr>
        <w:t>2009</w:t>
      </w:r>
      <w:r w:rsidR="000832AE">
        <w:rPr>
          <w:rFonts w:ascii="Times New Roman" w:hAnsi="Times New Roman" w:cs="Times New Roman"/>
          <w:sz w:val="22"/>
          <w:szCs w:val="22"/>
          <w:lang w:val="es-EC"/>
        </w:rPr>
        <w:t xml:space="preserve">, </w:t>
      </w:r>
      <w:r w:rsidR="00284871">
        <w:rPr>
          <w:rFonts w:ascii="Times New Roman" w:hAnsi="Times New Roman" w:cs="Times New Roman"/>
          <w:sz w:val="22"/>
          <w:szCs w:val="22"/>
          <w:lang w:val="es-EC"/>
        </w:rPr>
        <w:t xml:space="preserve">la información disponible en los </w:t>
      </w:r>
      <w:r w:rsidR="00284871" w:rsidRPr="007E1E28">
        <w:rPr>
          <w:rFonts w:ascii="Times New Roman" w:hAnsi="Times New Roman" w:cs="Times New Roman"/>
          <w:sz w:val="22"/>
          <w:szCs w:val="22"/>
          <w:lang w:val="es-EC"/>
        </w:rPr>
        <w:t>catastros inmobiliarios municipales</w:t>
      </w:r>
      <w:r w:rsidR="00284871">
        <w:rPr>
          <w:rFonts w:ascii="Times New Roman" w:hAnsi="Times New Roman" w:cs="Times New Roman"/>
          <w:sz w:val="22"/>
          <w:szCs w:val="22"/>
          <w:lang w:val="es-EC"/>
        </w:rPr>
        <w:t>,</w:t>
      </w:r>
      <w:r w:rsidR="00284871" w:rsidRPr="005C3C44">
        <w:rPr>
          <w:rFonts w:ascii="Times New Roman" w:hAnsi="Times New Roman" w:cs="Times New Roman"/>
          <w:sz w:val="22"/>
          <w:szCs w:val="22"/>
          <w:lang w:val="es-EC"/>
        </w:rPr>
        <w:t xml:space="preserve"> </w:t>
      </w:r>
      <w:r w:rsidR="000C0220" w:rsidRPr="005C3C44">
        <w:rPr>
          <w:rFonts w:ascii="Times New Roman" w:hAnsi="Times New Roman" w:cs="Times New Roman"/>
          <w:sz w:val="22"/>
          <w:szCs w:val="22"/>
          <w:lang w:val="es-EC"/>
        </w:rPr>
        <w:t>además</w:t>
      </w:r>
      <w:r w:rsidR="000832AE">
        <w:rPr>
          <w:rFonts w:ascii="Times New Roman" w:hAnsi="Times New Roman" w:cs="Times New Roman"/>
          <w:sz w:val="22"/>
          <w:szCs w:val="22"/>
          <w:lang w:val="es-EC"/>
        </w:rPr>
        <w:t xml:space="preserve">, </w:t>
      </w:r>
      <w:r w:rsidR="000C0220" w:rsidRPr="005C3C44">
        <w:rPr>
          <w:rFonts w:ascii="Times New Roman" w:hAnsi="Times New Roman" w:cs="Times New Roman"/>
          <w:sz w:val="22"/>
          <w:szCs w:val="22"/>
          <w:lang w:val="es-EC"/>
        </w:rPr>
        <w:t xml:space="preserve">de </w:t>
      </w:r>
      <w:r w:rsidRPr="005C3C44">
        <w:rPr>
          <w:rFonts w:ascii="Times New Roman" w:hAnsi="Times New Roman" w:cs="Times New Roman"/>
          <w:sz w:val="22"/>
          <w:szCs w:val="22"/>
          <w:lang w:val="es-EC"/>
        </w:rPr>
        <w:t>un</w:t>
      </w:r>
      <w:r w:rsidR="00E01E7D">
        <w:rPr>
          <w:rFonts w:ascii="Times New Roman" w:hAnsi="Times New Roman" w:cs="Times New Roman"/>
          <w:sz w:val="22"/>
          <w:szCs w:val="22"/>
          <w:lang w:val="es-EC"/>
        </w:rPr>
        <w:t xml:space="preserve"> análisis de la realidad local</w:t>
      </w:r>
      <w:r w:rsidR="000832AE">
        <w:rPr>
          <w:rFonts w:ascii="Times New Roman" w:hAnsi="Times New Roman" w:cs="Times New Roman"/>
          <w:sz w:val="22"/>
          <w:szCs w:val="22"/>
          <w:lang w:val="es-EC"/>
        </w:rPr>
        <w:t xml:space="preserve">. </w:t>
      </w:r>
      <w:r w:rsidRPr="007E1E28">
        <w:rPr>
          <w:rFonts w:ascii="Times New Roman" w:hAnsi="Times New Roman" w:cs="Times New Roman"/>
          <w:sz w:val="22"/>
          <w:szCs w:val="22"/>
          <w:lang w:val="es-EC"/>
        </w:rPr>
        <w:t xml:space="preserve">De su implementación se obtuvo una completa valoración del riesgo </w:t>
      </w:r>
      <w:r w:rsidR="00C74690">
        <w:rPr>
          <w:rFonts w:ascii="Times New Roman" w:hAnsi="Times New Roman" w:cs="Times New Roman"/>
          <w:sz w:val="22"/>
          <w:szCs w:val="22"/>
          <w:lang w:val="es-EC"/>
        </w:rPr>
        <w:t xml:space="preserve">a nivel predial </w:t>
      </w:r>
      <w:r w:rsidRPr="007E1E28">
        <w:rPr>
          <w:rFonts w:ascii="Times New Roman" w:hAnsi="Times New Roman" w:cs="Times New Roman"/>
          <w:sz w:val="22"/>
          <w:szCs w:val="22"/>
          <w:lang w:val="es-EC"/>
        </w:rPr>
        <w:t xml:space="preserve">para el área de estudio repartida entre </w:t>
      </w:r>
      <w:r w:rsidR="00284871">
        <w:rPr>
          <w:rFonts w:ascii="Times New Roman" w:hAnsi="Times New Roman" w:cs="Times New Roman"/>
          <w:sz w:val="22"/>
          <w:szCs w:val="22"/>
          <w:lang w:val="es-EC"/>
        </w:rPr>
        <w:t>los cantones Quito y Rumiñahui</w:t>
      </w:r>
      <w:r w:rsidRPr="007E1E28">
        <w:rPr>
          <w:rFonts w:ascii="Times New Roman" w:hAnsi="Times New Roman" w:cs="Times New Roman"/>
          <w:sz w:val="22"/>
          <w:szCs w:val="22"/>
          <w:lang w:val="es-EC"/>
        </w:rPr>
        <w:t>; y una serie de recomendaciones enmarcadas en la planificación territorial para tra</w:t>
      </w:r>
      <w:r w:rsidR="00C832CD">
        <w:rPr>
          <w:rFonts w:ascii="Times New Roman" w:hAnsi="Times New Roman" w:cs="Times New Roman"/>
          <w:sz w:val="22"/>
          <w:szCs w:val="22"/>
          <w:lang w:val="es-EC"/>
        </w:rPr>
        <w:t>tarlo</w:t>
      </w:r>
      <w:r w:rsidRPr="007E1E28">
        <w:rPr>
          <w:rFonts w:ascii="Times New Roman" w:hAnsi="Times New Roman" w:cs="Times New Roman"/>
          <w:sz w:val="22"/>
          <w:szCs w:val="22"/>
          <w:lang w:val="es-EC"/>
        </w:rPr>
        <w:t xml:space="preserve">. </w:t>
      </w:r>
      <w:r w:rsidR="000832AE">
        <w:rPr>
          <w:rFonts w:ascii="Times New Roman" w:hAnsi="Times New Roman" w:cs="Times New Roman"/>
          <w:sz w:val="22"/>
          <w:szCs w:val="22"/>
          <w:lang w:val="es-EC"/>
        </w:rPr>
        <w:t xml:space="preserve">Los </w:t>
      </w:r>
      <w:r w:rsidR="00284871">
        <w:rPr>
          <w:rFonts w:ascii="Times New Roman" w:hAnsi="Times New Roman" w:cs="Times New Roman"/>
          <w:sz w:val="22"/>
          <w:szCs w:val="22"/>
          <w:lang w:val="es-EC"/>
        </w:rPr>
        <w:t>datos</w:t>
      </w:r>
      <w:r w:rsidR="000832AE">
        <w:rPr>
          <w:rFonts w:ascii="Times New Roman" w:hAnsi="Times New Roman" w:cs="Times New Roman"/>
          <w:sz w:val="22"/>
          <w:szCs w:val="22"/>
          <w:lang w:val="es-EC"/>
        </w:rPr>
        <w:t xml:space="preserve"> obtenidos fueron ingresados al</w:t>
      </w:r>
      <w:r w:rsidRPr="007E1E28">
        <w:rPr>
          <w:rFonts w:ascii="Times New Roman" w:hAnsi="Times New Roman" w:cs="Times New Roman"/>
          <w:sz w:val="22"/>
          <w:szCs w:val="22"/>
          <w:lang w:val="es-EC"/>
        </w:rPr>
        <w:t xml:space="preserve"> SCR </w:t>
      </w:r>
      <w:r w:rsidR="000832AE">
        <w:rPr>
          <w:rFonts w:ascii="Times New Roman" w:hAnsi="Times New Roman" w:cs="Times New Roman"/>
          <w:sz w:val="22"/>
          <w:szCs w:val="22"/>
          <w:lang w:val="es-EC"/>
        </w:rPr>
        <w:t>cuyo dise</w:t>
      </w:r>
      <w:r w:rsidR="00C832CD">
        <w:rPr>
          <w:rFonts w:ascii="Times New Roman" w:hAnsi="Times New Roman" w:cs="Times New Roman"/>
          <w:sz w:val="22"/>
          <w:szCs w:val="22"/>
          <w:lang w:val="es-EC"/>
        </w:rPr>
        <w:t>ño siguió</w:t>
      </w:r>
      <w:r w:rsidRPr="007E1E28">
        <w:rPr>
          <w:rFonts w:ascii="Times New Roman" w:hAnsi="Times New Roman" w:cs="Times New Roman"/>
          <w:sz w:val="22"/>
          <w:szCs w:val="22"/>
          <w:lang w:val="es-EC"/>
        </w:rPr>
        <w:t xml:space="preserve"> el modelo LADM (Land Administration Domain Model) descrito en la ISO 19152:2009 y </w:t>
      </w:r>
      <w:r w:rsidR="003E1B66">
        <w:rPr>
          <w:rFonts w:ascii="Times New Roman" w:hAnsi="Times New Roman" w:cs="Times New Roman"/>
          <w:sz w:val="22"/>
          <w:szCs w:val="22"/>
          <w:lang w:val="es-EC"/>
        </w:rPr>
        <w:t xml:space="preserve">fue </w:t>
      </w:r>
      <w:r w:rsidRPr="007E1E28">
        <w:rPr>
          <w:rFonts w:ascii="Times New Roman" w:hAnsi="Times New Roman" w:cs="Times New Roman"/>
          <w:sz w:val="22"/>
          <w:szCs w:val="22"/>
          <w:lang w:val="es-EC"/>
        </w:rPr>
        <w:t xml:space="preserve">puesto en marcha </w:t>
      </w:r>
      <w:r w:rsidR="00D37A44">
        <w:rPr>
          <w:rFonts w:ascii="Times New Roman" w:hAnsi="Times New Roman" w:cs="Times New Roman"/>
          <w:sz w:val="22"/>
          <w:szCs w:val="22"/>
          <w:lang w:val="es-EC"/>
        </w:rPr>
        <w:t xml:space="preserve">con ayuda del </w:t>
      </w:r>
      <w:r w:rsidR="003E1B66">
        <w:rPr>
          <w:rFonts w:ascii="Times New Roman" w:hAnsi="Times New Roman" w:cs="Times New Roman"/>
          <w:sz w:val="22"/>
          <w:szCs w:val="22"/>
          <w:lang w:val="es-EC"/>
        </w:rPr>
        <w:t>software STDM</w:t>
      </w:r>
      <w:r w:rsidR="00820AF3">
        <w:rPr>
          <w:rFonts w:ascii="Times New Roman" w:hAnsi="Times New Roman" w:cs="Times New Roman"/>
          <w:sz w:val="22"/>
          <w:szCs w:val="22"/>
          <w:lang w:val="es-EC"/>
        </w:rPr>
        <w:t xml:space="preserve"> (Social Tenure Domain Model)</w:t>
      </w:r>
      <w:r w:rsidR="00D37A44">
        <w:rPr>
          <w:rFonts w:ascii="Times New Roman" w:hAnsi="Times New Roman" w:cs="Times New Roman"/>
          <w:sz w:val="22"/>
          <w:szCs w:val="22"/>
          <w:lang w:val="es-EC"/>
        </w:rPr>
        <w:t xml:space="preserve">. </w:t>
      </w:r>
      <w:r w:rsidR="003E1B66">
        <w:rPr>
          <w:rFonts w:ascii="Times New Roman" w:hAnsi="Times New Roman" w:cs="Times New Roman"/>
          <w:sz w:val="22"/>
          <w:szCs w:val="22"/>
          <w:lang w:val="es-EC"/>
        </w:rPr>
        <w:t>L</w:t>
      </w:r>
      <w:r w:rsidRPr="007E1E28">
        <w:rPr>
          <w:rFonts w:ascii="Times New Roman" w:hAnsi="Times New Roman" w:cs="Times New Roman"/>
          <w:sz w:val="22"/>
          <w:szCs w:val="22"/>
          <w:lang w:val="es-EC"/>
        </w:rPr>
        <w:t xml:space="preserve">a aplicación de herramientas de administración territorial en la gestión de riesgos naturales, en este caso, </w:t>
      </w:r>
      <w:r w:rsidR="000D0C21">
        <w:rPr>
          <w:rFonts w:ascii="Times New Roman" w:hAnsi="Times New Roman" w:cs="Times New Roman"/>
          <w:sz w:val="22"/>
          <w:szCs w:val="22"/>
          <w:lang w:val="es-EC"/>
        </w:rPr>
        <w:t xml:space="preserve">de </w:t>
      </w:r>
      <w:r w:rsidRPr="007E1E28">
        <w:rPr>
          <w:rFonts w:ascii="Times New Roman" w:hAnsi="Times New Roman" w:cs="Times New Roman"/>
          <w:sz w:val="22"/>
          <w:szCs w:val="22"/>
          <w:lang w:val="es-EC"/>
        </w:rPr>
        <w:t>la norma ISO 19152 LADM</w:t>
      </w:r>
      <w:r w:rsidR="00F06C03">
        <w:rPr>
          <w:rFonts w:ascii="Times New Roman" w:hAnsi="Times New Roman" w:cs="Times New Roman"/>
          <w:sz w:val="22"/>
          <w:szCs w:val="22"/>
          <w:lang w:val="es-EC"/>
        </w:rPr>
        <w:t xml:space="preserve">, </w:t>
      </w:r>
      <w:r w:rsidRPr="007E1E28">
        <w:rPr>
          <w:rFonts w:ascii="Times New Roman" w:hAnsi="Times New Roman" w:cs="Times New Roman"/>
          <w:sz w:val="22"/>
          <w:szCs w:val="22"/>
          <w:lang w:val="es-EC"/>
        </w:rPr>
        <w:t xml:space="preserve">los </w:t>
      </w:r>
      <w:r w:rsidR="00F06C03">
        <w:rPr>
          <w:rFonts w:ascii="Times New Roman" w:hAnsi="Times New Roman" w:cs="Times New Roman"/>
          <w:sz w:val="22"/>
          <w:szCs w:val="22"/>
          <w:lang w:val="es-EC"/>
        </w:rPr>
        <w:t>datos e infraestructura</w:t>
      </w:r>
      <w:r w:rsidR="00BA0C45">
        <w:rPr>
          <w:rFonts w:ascii="Times New Roman" w:hAnsi="Times New Roman" w:cs="Times New Roman"/>
          <w:sz w:val="22"/>
          <w:szCs w:val="22"/>
          <w:lang w:val="es-EC"/>
        </w:rPr>
        <w:t>s</w:t>
      </w:r>
      <w:r w:rsidR="00F06C03">
        <w:rPr>
          <w:rFonts w:ascii="Times New Roman" w:hAnsi="Times New Roman" w:cs="Times New Roman"/>
          <w:sz w:val="22"/>
          <w:szCs w:val="22"/>
          <w:lang w:val="es-EC"/>
        </w:rPr>
        <w:t xml:space="preserve"> catastral</w:t>
      </w:r>
      <w:r w:rsidR="00BA0C45">
        <w:rPr>
          <w:rFonts w:ascii="Times New Roman" w:hAnsi="Times New Roman" w:cs="Times New Roman"/>
          <w:sz w:val="22"/>
          <w:szCs w:val="22"/>
          <w:lang w:val="es-EC"/>
        </w:rPr>
        <w:t>es</w:t>
      </w:r>
      <w:r w:rsidR="00F06C03">
        <w:rPr>
          <w:rFonts w:ascii="Times New Roman" w:hAnsi="Times New Roman" w:cs="Times New Roman"/>
          <w:sz w:val="22"/>
          <w:szCs w:val="22"/>
          <w:lang w:val="es-EC"/>
        </w:rPr>
        <w:t>, y la capacidad de elaborar</w:t>
      </w:r>
      <w:r w:rsidR="00284871">
        <w:rPr>
          <w:rFonts w:ascii="Times New Roman" w:hAnsi="Times New Roman" w:cs="Times New Roman"/>
          <w:sz w:val="22"/>
          <w:szCs w:val="22"/>
          <w:lang w:val="es-EC"/>
        </w:rPr>
        <w:t xml:space="preserve"> políticas </w:t>
      </w:r>
      <w:r w:rsidR="00BA0C45">
        <w:rPr>
          <w:rFonts w:ascii="Times New Roman" w:hAnsi="Times New Roman" w:cs="Times New Roman"/>
          <w:sz w:val="22"/>
          <w:szCs w:val="22"/>
          <w:lang w:val="es-EC"/>
        </w:rPr>
        <w:t>de</w:t>
      </w:r>
      <w:r w:rsidR="000D0C21">
        <w:rPr>
          <w:rFonts w:ascii="Times New Roman" w:hAnsi="Times New Roman" w:cs="Times New Roman"/>
          <w:sz w:val="22"/>
          <w:szCs w:val="22"/>
          <w:lang w:val="es-EC"/>
        </w:rPr>
        <w:t xml:space="preserve"> ordenamiento territorial y uso del suelo</w:t>
      </w:r>
      <w:r w:rsidR="00BA0C45">
        <w:rPr>
          <w:rFonts w:ascii="Times New Roman" w:hAnsi="Times New Roman" w:cs="Times New Roman"/>
          <w:sz w:val="22"/>
          <w:szCs w:val="22"/>
          <w:lang w:val="es-EC"/>
        </w:rPr>
        <w:t>,</w:t>
      </w:r>
      <w:r w:rsidR="000D0C21">
        <w:rPr>
          <w:rFonts w:ascii="Times New Roman" w:hAnsi="Times New Roman" w:cs="Times New Roman"/>
          <w:sz w:val="22"/>
          <w:szCs w:val="22"/>
          <w:lang w:val="es-EC"/>
        </w:rPr>
        <w:t xml:space="preserve"> </w:t>
      </w:r>
      <w:r w:rsidR="00C74690">
        <w:rPr>
          <w:rFonts w:ascii="Times New Roman" w:hAnsi="Times New Roman" w:cs="Times New Roman"/>
          <w:sz w:val="22"/>
          <w:szCs w:val="22"/>
          <w:lang w:val="es-EC"/>
        </w:rPr>
        <w:t>facilita</w:t>
      </w:r>
      <w:r w:rsidR="00F06C03">
        <w:rPr>
          <w:rFonts w:ascii="Times New Roman" w:hAnsi="Times New Roman" w:cs="Times New Roman"/>
          <w:sz w:val="22"/>
          <w:szCs w:val="22"/>
          <w:lang w:val="es-EC"/>
        </w:rPr>
        <w:t xml:space="preserve"> </w:t>
      </w:r>
      <w:r w:rsidR="00BA0C45">
        <w:rPr>
          <w:rFonts w:ascii="Times New Roman" w:hAnsi="Times New Roman" w:cs="Times New Roman"/>
          <w:sz w:val="22"/>
          <w:szCs w:val="22"/>
          <w:lang w:val="es-EC"/>
        </w:rPr>
        <w:t xml:space="preserve">y </w:t>
      </w:r>
      <w:r w:rsidR="00F06C03">
        <w:rPr>
          <w:rFonts w:ascii="Times New Roman" w:hAnsi="Times New Roman" w:cs="Times New Roman"/>
          <w:sz w:val="22"/>
          <w:szCs w:val="22"/>
          <w:lang w:val="es-EC"/>
        </w:rPr>
        <w:t>mejor</w:t>
      </w:r>
      <w:r w:rsidR="00C74690">
        <w:rPr>
          <w:rFonts w:ascii="Times New Roman" w:hAnsi="Times New Roman" w:cs="Times New Roman"/>
          <w:sz w:val="22"/>
          <w:szCs w:val="22"/>
          <w:lang w:val="es-EC"/>
        </w:rPr>
        <w:t>a</w:t>
      </w:r>
      <w:r w:rsidR="00BA0C45">
        <w:rPr>
          <w:rFonts w:ascii="Times New Roman" w:hAnsi="Times New Roman" w:cs="Times New Roman"/>
          <w:sz w:val="22"/>
          <w:szCs w:val="22"/>
          <w:lang w:val="es-EC"/>
        </w:rPr>
        <w:t xml:space="preserve"> la gestión de riesgo</w:t>
      </w:r>
      <w:r w:rsidR="00C74690">
        <w:rPr>
          <w:rFonts w:ascii="Times New Roman" w:hAnsi="Times New Roman" w:cs="Times New Roman"/>
          <w:sz w:val="22"/>
          <w:szCs w:val="22"/>
          <w:lang w:val="es-EC"/>
        </w:rPr>
        <w:t>s</w:t>
      </w:r>
      <w:r w:rsidR="00076708">
        <w:rPr>
          <w:rFonts w:ascii="Times New Roman" w:hAnsi="Times New Roman" w:cs="Times New Roman"/>
          <w:sz w:val="22"/>
          <w:szCs w:val="22"/>
          <w:lang w:val="es-EC"/>
        </w:rPr>
        <w:t xml:space="preserve"> y</w:t>
      </w:r>
      <w:r w:rsidR="00C74690">
        <w:rPr>
          <w:rFonts w:ascii="Times New Roman" w:hAnsi="Times New Roman" w:cs="Times New Roman"/>
          <w:sz w:val="22"/>
          <w:szCs w:val="22"/>
          <w:lang w:val="es-EC"/>
        </w:rPr>
        <w:t xml:space="preserve"> </w:t>
      </w:r>
      <w:r w:rsidR="00BA0C45">
        <w:rPr>
          <w:rFonts w:ascii="Times New Roman" w:hAnsi="Times New Roman" w:cs="Times New Roman"/>
          <w:sz w:val="22"/>
          <w:szCs w:val="22"/>
          <w:lang w:val="es-EC"/>
        </w:rPr>
        <w:t>toma de decisiones.</w:t>
      </w:r>
    </w:p>
    <w:p w:rsidR="00DF5227" w:rsidRPr="003B7BA4" w:rsidRDefault="00DF5227" w:rsidP="00DF5227">
      <w:pPr>
        <w:rPr>
          <w:lang w:val="es-EC"/>
        </w:rPr>
      </w:pPr>
    </w:p>
    <w:p w:rsidR="009037A1" w:rsidRDefault="000E631D" w:rsidP="009037A1">
      <w:pPr>
        <w:rPr>
          <w:sz w:val="22"/>
          <w:szCs w:val="22"/>
          <w:lang w:val="es-EC"/>
        </w:rPr>
      </w:pPr>
      <w:r w:rsidRPr="00667441">
        <w:rPr>
          <w:b/>
          <w:sz w:val="22"/>
          <w:szCs w:val="22"/>
          <w:lang w:val="es-EC"/>
        </w:rPr>
        <w:t>Palabras clave</w:t>
      </w:r>
      <w:r w:rsidR="00B43A70" w:rsidRPr="00667441">
        <w:rPr>
          <w:b/>
          <w:sz w:val="22"/>
          <w:szCs w:val="22"/>
          <w:lang w:val="es-EC"/>
        </w:rPr>
        <w:t>:</w:t>
      </w:r>
      <w:r w:rsidR="00B43A70" w:rsidRPr="00667441">
        <w:rPr>
          <w:sz w:val="22"/>
          <w:szCs w:val="22"/>
          <w:lang w:val="es-EC"/>
        </w:rPr>
        <w:t xml:space="preserve"> </w:t>
      </w:r>
      <w:r w:rsidR="003520E7" w:rsidRPr="003520E7">
        <w:rPr>
          <w:sz w:val="22"/>
          <w:szCs w:val="22"/>
          <w:lang w:val="es-EC"/>
        </w:rPr>
        <w:t>gestión de riesgos, administración territorial, catastro, desastre natural.</w:t>
      </w:r>
    </w:p>
    <w:p w:rsidR="009037A1" w:rsidRPr="00770A98" w:rsidRDefault="009037A1" w:rsidP="009037A1">
      <w:pPr>
        <w:rPr>
          <w:sz w:val="22"/>
          <w:szCs w:val="22"/>
          <w:lang w:val="es-EC"/>
        </w:rPr>
      </w:pPr>
    </w:p>
    <w:p w:rsidR="009037A1" w:rsidRPr="00770A98" w:rsidRDefault="009037A1" w:rsidP="003B7BA4">
      <w:pPr>
        <w:pStyle w:val="Els-Abstract-head"/>
        <w:pBdr>
          <w:top w:val="single" w:sz="4" w:space="18" w:color="auto"/>
        </w:pBdr>
        <w:spacing w:after="0" w:line="240" w:lineRule="auto"/>
        <w:jc w:val="center"/>
        <w:rPr>
          <w:sz w:val="22"/>
          <w:szCs w:val="22"/>
          <w:lang w:val="es-EC"/>
        </w:rPr>
      </w:pPr>
    </w:p>
    <w:p w:rsidR="00531B1B" w:rsidRDefault="008D2CB5" w:rsidP="003B7BA4">
      <w:pPr>
        <w:pStyle w:val="Els-Abstract-head"/>
        <w:pBdr>
          <w:top w:val="single" w:sz="4" w:space="18" w:color="auto"/>
        </w:pBdr>
        <w:spacing w:after="0" w:line="240" w:lineRule="auto"/>
        <w:jc w:val="center"/>
        <w:rPr>
          <w:sz w:val="22"/>
          <w:szCs w:val="22"/>
          <w:lang w:val="en-GB"/>
        </w:rPr>
      </w:pPr>
      <w:r>
        <w:rPr>
          <w:sz w:val="22"/>
          <w:szCs w:val="22"/>
          <w:lang w:val="en-GB"/>
        </w:rPr>
        <w:t>A</w:t>
      </w:r>
      <w:r w:rsidR="000E631D" w:rsidRPr="000E631D">
        <w:rPr>
          <w:sz w:val="22"/>
          <w:szCs w:val="22"/>
          <w:lang w:val="en-GB"/>
        </w:rPr>
        <w:t>BSTRACT</w:t>
      </w:r>
    </w:p>
    <w:p w:rsidR="00DF5227" w:rsidRPr="004F0E0D" w:rsidRDefault="00DF5227" w:rsidP="00DF5227">
      <w:pPr>
        <w:rPr>
          <w:lang w:val="en-US"/>
        </w:rPr>
      </w:pPr>
    </w:p>
    <w:p w:rsidR="00C353D3" w:rsidRDefault="00C353D3" w:rsidP="00DF5227">
      <w:pPr>
        <w:jc w:val="both"/>
        <w:rPr>
          <w:sz w:val="22"/>
          <w:szCs w:val="22"/>
        </w:rPr>
      </w:pPr>
      <w:r w:rsidRPr="00C353D3">
        <w:rPr>
          <w:sz w:val="22"/>
          <w:szCs w:val="22"/>
        </w:rPr>
        <w:t xml:space="preserve">The increase in the frequency and magnitude of natural disasters around the world due to anthropic factors has caused great economic losses and impacts on health and safety. One of the most effective treatments to reduce the risks associated with these events is prevention through proper planning, where </w:t>
      </w:r>
      <w:r w:rsidR="00EF1A43">
        <w:rPr>
          <w:sz w:val="22"/>
          <w:szCs w:val="22"/>
        </w:rPr>
        <w:t>the land</w:t>
      </w:r>
      <w:r w:rsidRPr="00C353D3">
        <w:rPr>
          <w:sz w:val="22"/>
          <w:szCs w:val="22"/>
        </w:rPr>
        <w:t xml:space="preserve"> administration is able to provide information and tools such as data infrastructure, legal frameworks and policies. The present work applied within the risk management process, the tools provided by the land administration, through the design of a methodology for risk management, its implementation in part of the possible affected </w:t>
      </w:r>
      <w:r w:rsidR="00D74B45" w:rsidRPr="00C353D3">
        <w:rPr>
          <w:sz w:val="22"/>
          <w:szCs w:val="22"/>
        </w:rPr>
        <w:t xml:space="preserve">areas </w:t>
      </w:r>
      <w:r w:rsidRPr="00C353D3">
        <w:rPr>
          <w:sz w:val="22"/>
          <w:szCs w:val="22"/>
        </w:rPr>
        <w:t>by an eventual lahar of the Cotopaxi volcano in Los Chillos Valley and subsequent generation of the Cadastral Risk System (SCR)</w:t>
      </w:r>
      <w:r w:rsidR="00EF1A43">
        <w:rPr>
          <w:sz w:val="22"/>
          <w:szCs w:val="22"/>
        </w:rPr>
        <w:t xml:space="preserve"> </w:t>
      </w:r>
      <w:r w:rsidR="00EF1A43" w:rsidRPr="00C353D3">
        <w:rPr>
          <w:sz w:val="22"/>
          <w:szCs w:val="22"/>
        </w:rPr>
        <w:t>first version</w:t>
      </w:r>
      <w:r w:rsidR="00EF1A43">
        <w:rPr>
          <w:sz w:val="22"/>
          <w:szCs w:val="22"/>
        </w:rPr>
        <w:t>.</w:t>
      </w:r>
      <w:r w:rsidRPr="00C353D3">
        <w:rPr>
          <w:sz w:val="22"/>
          <w:szCs w:val="22"/>
        </w:rPr>
        <w:t xml:space="preserve"> The propose</w:t>
      </w:r>
      <w:r w:rsidR="00EF1A43">
        <w:rPr>
          <w:sz w:val="22"/>
          <w:szCs w:val="22"/>
        </w:rPr>
        <w:t>d methodology allows identify, evaluate, assess and mitigate</w:t>
      </w:r>
      <w:r w:rsidRPr="00C353D3">
        <w:rPr>
          <w:sz w:val="22"/>
          <w:szCs w:val="22"/>
        </w:rPr>
        <w:t xml:space="preserve"> the risk, for its elaboration the risk management process given in AS / NZS ISO 31000: 2009 was taken as a basis, </w:t>
      </w:r>
      <w:r w:rsidR="00D74B45">
        <w:rPr>
          <w:sz w:val="22"/>
          <w:szCs w:val="22"/>
        </w:rPr>
        <w:t xml:space="preserve">as well as </w:t>
      </w:r>
      <w:r w:rsidRPr="00C353D3">
        <w:rPr>
          <w:sz w:val="22"/>
          <w:szCs w:val="22"/>
        </w:rPr>
        <w:t>the information available in muni</w:t>
      </w:r>
      <w:r w:rsidR="00D74B45">
        <w:rPr>
          <w:sz w:val="22"/>
          <w:szCs w:val="22"/>
        </w:rPr>
        <w:t xml:space="preserve">cipal real estate cadastres and an </w:t>
      </w:r>
      <w:r w:rsidRPr="00C353D3">
        <w:rPr>
          <w:sz w:val="22"/>
          <w:szCs w:val="22"/>
        </w:rPr>
        <w:t>analysis of the local reality. From its implementation a complete risk assessment was obtained at the property level for the study area distributed between the Quito and Rumiñahui cantons; and a series of recommendations framed in territorial planning to deal with it. The data obtained were entered into the SCR whose design followed the LADM (Land Administration Domain Model) model described in ISO 19152: 2009 and was launched with the STDM software. The application of territorial administration tools in the management of natural hazards, in this case, of the ISO 19152 LADM standard, cadastral data and infrastructure, and the ability to develop land management and land use policies, facilitates and improves management of risks and decision making.</w:t>
      </w:r>
    </w:p>
    <w:p w:rsidR="00DF5227" w:rsidRPr="004F0E0D" w:rsidRDefault="00DF5227" w:rsidP="00DF5227">
      <w:pPr>
        <w:rPr>
          <w:lang w:val="en-US"/>
        </w:rPr>
      </w:pPr>
    </w:p>
    <w:p w:rsidR="00D93BF2" w:rsidRPr="000E631D" w:rsidRDefault="00E65DFE" w:rsidP="00DF5227">
      <w:pPr>
        <w:autoSpaceDE w:val="0"/>
        <w:autoSpaceDN w:val="0"/>
        <w:adjustRightInd w:val="0"/>
        <w:jc w:val="both"/>
        <w:rPr>
          <w:sz w:val="22"/>
          <w:szCs w:val="22"/>
        </w:rPr>
      </w:pPr>
      <w:r w:rsidRPr="000E631D">
        <w:rPr>
          <w:b/>
          <w:sz w:val="22"/>
          <w:szCs w:val="22"/>
        </w:rPr>
        <w:t>Keywords:</w:t>
      </w:r>
      <w:r w:rsidR="00260A60" w:rsidRPr="000E631D">
        <w:rPr>
          <w:sz w:val="22"/>
          <w:szCs w:val="22"/>
        </w:rPr>
        <w:t xml:space="preserve"> </w:t>
      </w:r>
      <w:r w:rsidR="00D74B45">
        <w:rPr>
          <w:sz w:val="22"/>
          <w:szCs w:val="22"/>
        </w:rPr>
        <w:t>risk management, land</w:t>
      </w:r>
      <w:r w:rsidR="00D74B45" w:rsidRPr="00D74B45">
        <w:rPr>
          <w:sz w:val="22"/>
          <w:szCs w:val="22"/>
        </w:rPr>
        <w:t xml:space="preserve"> administration, cadastre, natural disaster.</w:t>
      </w:r>
    </w:p>
    <w:p w:rsidR="00E65DFE" w:rsidRDefault="00E65DFE" w:rsidP="006D7B05">
      <w:pPr>
        <w:pStyle w:val="Els-keywords"/>
        <w:spacing w:line="480" w:lineRule="auto"/>
        <w:rPr>
          <w:lang w:val="en-GB"/>
        </w:rPr>
      </w:pPr>
    </w:p>
    <w:p w:rsidR="00D93BF2" w:rsidRDefault="009A07EF" w:rsidP="009A07EF">
      <w:pPr>
        <w:pStyle w:val="Els-1storder-head"/>
        <w:spacing w:after="0" w:line="240" w:lineRule="auto"/>
        <w:jc w:val="both"/>
        <w:rPr>
          <w:sz w:val="24"/>
          <w:szCs w:val="24"/>
          <w:lang w:val="es-EC"/>
        </w:rPr>
      </w:pPr>
      <w:r>
        <w:rPr>
          <w:sz w:val="24"/>
          <w:szCs w:val="24"/>
          <w:lang w:val="es-EC"/>
        </w:rPr>
        <w:t>INTRODUCCIÓN</w:t>
      </w:r>
    </w:p>
    <w:p w:rsidR="00DF5227" w:rsidRPr="00DF5227" w:rsidRDefault="00DF5227" w:rsidP="00DF5227">
      <w:pPr>
        <w:rPr>
          <w:sz w:val="24"/>
          <w:szCs w:val="24"/>
          <w:lang w:val="es-EC"/>
        </w:rPr>
      </w:pPr>
    </w:p>
    <w:p w:rsidR="00C30323" w:rsidRPr="00E509D4" w:rsidRDefault="00C30323" w:rsidP="00E509D4">
      <w:pPr>
        <w:pStyle w:val="Textoindependiente"/>
        <w:ind w:firstLine="567"/>
        <w:contextualSpacing/>
        <w:jc w:val="both"/>
        <w:rPr>
          <w:rFonts w:eastAsia="MS Mincho"/>
          <w:sz w:val="24"/>
          <w:szCs w:val="24"/>
          <w:lang w:val="es-EC"/>
        </w:rPr>
      </w:pPr>
      <w:r w:rsidRPr="005044DC">
        <w:rPr>
          <w:rFonts w:eastAsia="MS Mincho"/>
          <w:sz w:val="24"/>
          <w:szCs w:val="24"/>
          <w:lang w:val="es-EC"/>
        </w:rPr>
        <w:t xml:space="preserve">El mundo ha evidenciado un aumento en la frecuencia y gravedad de desastres naturales </w:t>
      </w:r>
      <w:r w:rsidR="00ED3237">
        <w:rPr>
          <w:rFonts w:eastAsia="MS Mincho"/>
          <w:sz w:val="24"/>
          <w:szCs w:val="24"/>
          <w:lang w:val="es-EC"/>
        </w:rPr>
        <w:t xml:space="preserve">tales </w:t>
      </w:r>
      <w:r w:rsidRPr="005044DC">
        <w:rPr>
          <w:rFonts w:eastAsia="MS Mincho"/>
          <w:sz w:val="24"/>
          <w:szCs w:val="24"/>
          <w:lang w:val="es-EC"/>
        </w:rPr>
        <w:t>como</w:t>
      </w:r>
      <w:r w:rsidR="00ED3237">
        <w:rPr>
          <w:rFonts w:eastAsia="MS Mincho"/>
          <w:sz w:val="24"/>
          <w:szCs w:val="24"/>
          <w:lang w:val="es-EC"/>
        </w:rPr>
        <w:t>:</w:t>
      </w:r>
      <w:r w:rsidRPr="005044DC">
        <w:rPr>
          <w:rFonts w:eastAsia="MS Mincho"/>
          <w:sz w:val="24"/>
          <w:szCs w:val="24"/>
          <w:lang w:val="es-EC"/>
        </w:rPr>
        <w:t xml:space="preserve"> terremotos, inundaciones, sequías, huracanes, derrumbes y tsunamis, que se han visto agravados por la intensificación de las actividades agrícolas, el crecimiento de la población, la presión sobre los recursos natural</w:t>
      </w:r>
      <w:r w:rsidR="00EE1146">
        <w:rPr>
          <w:rFonts w:eastAsia="MS Mincho"/>
          <w:sz w:val="24"/>
          <w:szCs w:val="24"/>
          <w:lang w:val="es-EC"/>
        </w:rPr>
        <w:t>es y el cambio climático</w:t>
      </w:r>
      <w:r w:rsidR="00E46B6A">
        <w:rPr>
          <w:rFonts w:eastAsia="MS Mincho"/>
          <w:sz w:val="24"/>
          <w:szCs w:val="24"/>
          <w:lang w:val="es-EC"/>
        </w:rPr>
        <w:t>.</w:t>
      </w:r>
      <w:r w:rsidR="00EE1146">
        <w:rPr>
          <w:rFonts w:eastAsia="MS Mincho"/>
          <w:sz w:val="24"/>
          <w:szCs w:val="24"/>
          <w:lang w:val="es-EC"/>
        </w:rPr>
        <w:t xml:space="preserve"> </w:t>
      </w:r>
      <w:r w:rsidR="00E46B6A">
        <w:rPr>
          <w:rFonts w:eastAsia="MS Mincho"/>
          <w:sz w:val="24"/>
          <w:szCs w:val="24"/>
          <w:lang w:val="es-EC"/>
        </w:rPr>
        <w:t>E</w:t>
      </w:r>
      <w:r w:rsidRPr="005044DC">
        <w:rPr>
          <w:rFonts w:eastAsia="MS Mincho"/>
          <w:sz w:val="24"/>
          <w:szCs w:val="24"/>
          <w:lang w:val="es-EC"/>
        </w:rPr>
        <w:t>stos factores ocasionan un sin número de pérdidas por los efectos devastadores que provocan sobre el territorio y la propiedad tanto pública como privada</w:t>
      </w:r>
      <w:r w:rsidR="00EE1146" w:rsidRPr="00EE1146">
        <w:rPr>
          <w:rFonts w:eastAsia="MS Mincho"/>
          <w:sz w:val="24"/>
          <w:szCs w:val="24"/>
          <w:lang w:val="es-EC"/>
        </w:rPr>
        <w:t>; solame</w:t>
      </w:r>
      <w:r w:rsidR="00EE1146">
        <w:rPr>
          <w:rFonts w:eastAsia="MS Mincho"/>
          <w:sz w:val="24"/>
          <w:szCs w:val="24"/>
          <w:lang w:val="es-EC"/>
        </w:rPr>
        <w:t>nte entre el 2000 y 2005, en promedio hubo 240 millones de personas afectadas</w:t>
      </w:r>
      <w:r w:rsidR="00B05F3E">
        <w:rPr>
          <w:rFonts w:eastAsia="MS Mincho"/>
          <w:sz w:val="24"/>
          <w:szCs w:val="24"/>
          <w:lang w:val="es-EC"/>
        </w:rPr>
        <w:t>,</w:t>
      </w:r>
      <w:r w:rsidR="00EE1146">
        <w:rPr>
          <w:rFonts w:eastAsia="MS Mincho"/>
          <w:sz w:val="24"/>
          <w:szCs w:val="24"/>
          <w:lang w:val="es-EC"/>
        </w:rPr>
        <w:t xml:space="preserve"> 80,000 vidas</w:t>
      </w:r>
      <w:r w:rsidR="00B05F3E">
        <w:rPr>
          <w:rFonts w:eastAsia="MS Mincho"/>
          <w:sz w:val="24"/>
          <w:szCs w:val="24"/>
          <w:lang w:val="es-EC"/>
        </w:rPr>
        <w:t xml:space="preserve"> perdidas</w:t>
      </w:r>
      <w:r w:rsidR="00EE1146">
        <w:rPr>
          <w:rFonts w:eastAsia="MS Mincho"/>
          <w:sz w:val="24"/>
          <w:szCs w:val="24"/>
          <w:lang w:val="es-EC"/>
        </w:rPr>
        <w:t xml:space="preserve"> y $80 mil millones</w:t>
      </w:r>
      <w:r w:rsidR="00B05F3E">
        <w:rPr>
          <w:rFonts w:eastAsia="MS Mincho"/>
          <w:sz w:val="24"/>
          <w:szCs w:val="24"/>
          <w:lang w:val="es-EC"/>
        </w:rPr>
        <w:t xml:space="preserve"> en daños cada año </w:t>
      </w:r>
      <w:sdt>
        <w:sdtPr>
          <w:rPr>
            <w:rFonts w:eastAsia="MS Mincho"/>
            <w:sz w:val="24"/>
            <w:szCs w:val="24"/>
            <w:lang w:val="es-EC"/>
          </w:rPr>
          <w:id w:val="-907915611"/>
          <w:citation/>
        </w:sdtPr>
        <w:sdtEndPr/>
        <w:sdtContent>
          <w:r w:rsidR="00B05F3E">
            <w:rPr>
              <w:rFonts w:eastAsia="MS Mincho"/>
              <w:sz w:val="24"/>
              <w:szCs w:val="24"/>
              <w:lang w:val="es-EC"/>
            </w:rPr>
            <w:fldChar w:fldCharType="begin"/>
          </w:r>
          <w:r w:rsidR="00B05F3E">
            <w:rPr>
              <w:rFonts w:eastAsia="MS Mincho"/>
              <w:sz w:val="24"/>
              <w:szCs w:val="24"/>
              <w:lang w:val="es-EC"/>
            </w:rPr>
            <w:instrText xml:space="preserve"> CITATION Baa08 \l 12298 </w:instrText>
          </w:r>
          <w:r w:rsidR="00B05F3E">
            <w:rPr>
              <w:rFonts w:eastAsia="MS Mincho"/>
              <w:sz w:val="24"/>
              <w:szCs w:val="24"/>
              <w:lang w:val="es-EC"/>
            </w:rPr>
            <w:fldChar w:fldCharType="separate"/>
          </w:r>
          <w:r w:rsidR="00B05F3E" w:rsidRPr="00B05F3E">
            <w:rPr>
              <w:rFonts w:eastAsia="MS Mincho"/>
              <w:noProof/>
              <w:sz w:val="24"/>
              <w:szCs w:val="24"/>
              <w:lang w:val="es-EC"/>
            </w:rPr>
            <w:t>(Baas, et al., 2008)</w:t>
          </w:r>
          <w:r w:rsidR="00B05F3E">
            <w:rPr>
              <w:rFonts w:eastAsia="MS Mincho"/>
              <w:sz w:val="24"/>
              <w:szCs w:val="24"/>
              <w:lang w:val="es-EC"/>
            </w:rPr>
            <w:fldChar w:fldCharType="end"/>
          </w:r>
        </w:sdtContent>
      </w:sdt>
      <w:r w:rsidR="00B05F3E">
        <w:rPr>
          <w:rFonts w:eastAsia="MS Mincho"/>
          <w:sz w:val="24"/>
          <w:szCs w:val="24"/>
          <w:lang w:val="es-EC"/>
        </w:rPr>
        <w:t>.</w:t>
      </w:r>
      <w:r w:rsidRPr="005044DC">
        <w:rPr>
          <w:rFonts w:eastAsia="MS Mincho"/>
          <w:sz w:val="24"/>
          <w:szCs w:val="24"/>
          <w:lang w:val="es-EC"/>
        </w:rPr>
        <w:t xml:space="preserve"> Acorde a la base de datos EM-DAT (Emergency Events Database) del Centro de Investigación sobre Epidemiología de los Desastres (CRED) el número de muertos por desastres ha aumentado de forma constante desde el inicio de los registros de la base de datos en el año 1900 </w:t>
      </w:r>
      <w:r w:rsidR="003F5A5D">
        <w:rPr>
          <w:rFonts w:eastAsia="MS Mincho"/>
          <w:sz w:val="24"/>
          <w:szCs w:val="24"/>
          <w:lang w:val="es-EC"/>
        </w:rPr>
        <w:t>(IPCC, 2014</w:t>
      </w:r>
      <w:r w:rsidR="005044DC" w:rsidRPr="005044DC">
        <w:rPr>
          <w:rFonts w:eastAsia="MS Mincho"/>
          <w:sz w:val="24"/>
          <w:szCs w:val="24"/>
          <w:lang w:val="es-EC"/>
        </w:rPr>
        <w:t>; Mitchell, 2011)</w:t>
      </w:r>
      <w:r w:rsidR="005044DC">
        <w:rPr>
          <w:rFonts w:eastAsia="MS Mincho"/>
          <w:sz w:val="24"/>
          <w:szCs w:val="24"/>
          <w:lang w:val="es-EC"/>
        </w:rPr>
        <w:t>.</w:t>
      </w:r>
      <w:r w:rsidR="005B7DF7">
        <w:rPr>
          <w:rFonts w:eastAsia="MS Mincho"/>
          <w:sz w:val="24"/>
          <w:szCs w:val="24"/>
          <w:lang w:val="es-EC"/>
        </w:rPr>
        <w:t xml:space="preserve"> A</w:t>
      </w:r>
      <w:r w:rsidR="00AD5DC9">
        <w:rPr>
          <w:rFonts w:eastAsia="MS Mincho"/>
          <w:sz w:val="24"/>
          <w:szCs w:val="24"/>
          <w:lang w:val="es-EC"/>
        </w:rPr>
        <w:t xml:space="preserve">l incremento </w:t>
      </w:r>
      <w:r w:rsidR="006230AC">
        <w:rPr>
          <w:rFonts w:eastAsia="MS Mincho"/>
          <w:sz w:val="24"/>
          <w:szCs w:val="24"/>
          <w:lang w:val="es-EC"/>
        </w:rPr>
        <w:t xml:space="preserve">en </w:t>
      </w:r>
      <w:r w:rsidR="00E509D4">
        <w:rPr>
          <w:rFonts w:eastAsia="MS Mincho"/>
          <w:sz w:val="24"/>
          <w:szCs w:val="24"/>
          <w:lang w:val="es-EC"/>
        </w:rPr>
        <w:t>el número de</w:t>
      </w:r>
      <w:r w:rsidR="00D75337">
        <w:rPr>
          <w:rFonts w:eastAsia="MS Mincho"/>
          <w:sz w:val="24"/>
          <w:szCs w:val="24"/>
          <w:lang w:val="es-EC"/>
        </w:rPr>
        <w:t xml:space="preserve"> desastres naturales</w:t>
      </w:r>
      <w:r w:rsidR="000501B9">
        <w:rPr>
          <w:rFonts w:eastAsia="MS Mincho"/>
          <w:sz w:val="24"/>
          <w:szCs w:val="24"/>
          <w:lang w:val="es-EC"/>
        </w:rPr>
        <w:t xml:space="preserve"> </w:t>
      </w:r>
      <w:r w:rsidR="00AD5DC9">
        <w:rPr>
          <w:rFonts w:eastAsia="MS Mincho"/>
          <w:sz w:val="24"/>
          <w:szCs w:val="24"/>
          <w:lang w:val="es-EC"/>
        </w:rPr>
        <w:t xml:space="preserve">se suma </w:t>
      </w:r>
      <w:r w:rsidR="00AD5DC9" w:rsidRPr="007D18A1">
        <w:rPr>
          <w:rFonts w:eastAsia="MS Mincho"/>
          <w:sz w:val="24"/>
          <w:szCs w:val="24"/>
          <w:lang w:val="es-EC"/>
        </w:rPr>
        <w:t>la acumulación de deficiencias históricas en la pl</w:t>
      </w:r>
      <w:r w:rsidR="00AD5DC9">
        <w:rPr>
          <w:rFonts w:eastAsia="MS Mincho"/>
          <w:sz w:val="24"/>
          <w:szCs w:val="24"/>
          <w:lang w:val="es-EC"/>
        </w:rPr>
        <w:t>anificación y desarrollo de l</w:t>
      </w:r>
      <w:r w:rsidR="00AD5DC9" w:rsidRPr="007D18A1">
        <w:rPr>
          <w:rFonts w:eastAsia="MS Mincho"/>
          <w:sz w:val="24"/>
          <w:szCs w:val="24"/>
          <w:lang w:val="es-EC"/>
        </w:rPr>
        <w:t>os territorios</w:t>
      </w:r>
      <w:r w:rsidR="00AD5DC9">
        <w:rPr>
          <w:rFonts w:eastAsia="MS Mincho"/>
          <w:sz w:val="24"/>
          <w:szCs w:val="24"/>
          <w:lang w:val="es-EC"/>
        </w:rPr>
        <w:t xml:space="preserve"> vulnerables, lo que in</w:t>
      </w:r>
      <w:r w:rsidR="00E509D4">
        <w:rPr>
          <w:rFonts w:eastAsia="MS Mincho"/>
          <w:sz w:val="24"/>
          <w:szCs w:val="24"/>
          <w:lang w:val="es-EC"/>
        </w:rPr>
        <w:t>tensifica sus efectos negativos</w:t>
      </w:r>
      <w:r w:rsidR="00FD69D7">
        <w:rPr>
          <w:rFonts w:eastAsia="MS Mincho"/>
          <w:sz w:val="24"/>
          <w:szCs w:val="24"/>
          <w:lang w:val="es-EC"/>
        </w:rPr>
        <w:t xml:space="preserve"> </w:t>
      </w:r>
      <w:r w:rsidR="00E509D4">
        <w:rPr>
          <w:rFonts w:eastAsia="MS Mincho"/>
          <w:sz w:val="24"/>
          <w:szCs w:val="24"/>
          <w:lang w:val="es-EC"/>
        </w:rPr>
        <w:t xml:space="preserve">debido </w:t>
      </w:r>
      <w:r w:rsidR="006230AC">
        <w:rPr>
          <w:rFonts w:eastAsia="MS Mincho"/>
          <w:sz w:val="24"/>
          <w:szCs w:val="24"/>
          <w:lang w:val="es-EC"/>
        </w:rPr>
        <w:t>al</w:t>
      </w:r>
      <w:r w:rsidR="00E509D4">
        <w:rPr>
          <w:rFonts w:eastAsia="MS Mincho"/>
          <w:sz w:val="24"/>
          <w:szCs w:val="24"/>
          <w:lang w:val="es-EC"/>
        </w:rPr>
        <w:t xml:space="preserve"> inadecuado </w:t>
      </w:r>
      <w:r w:rsidRPr="00C30323">
        <w:rPr>
          <w:rFonts w:eastAsia="MS Mincho"/>
          <w:sz w:val="24"/>
          <w:szCs w:val="24"/>
          <w:lang w:val="es-EC"/>
        </w:rPr>
        <w:t xml:space="preserve">uso del suelo y </w:t>
      </w:r>
      <w:r w:rsidR="00E509D4">
        <w:rPr>
          <w:rFonts w:eastAsia="MS Mincho"/>
          <w:sz w:val="24"/>
          <w:szCs w:val="24"/>
          <w:lang w:val="es-EC"/>
        </w:rPr>
        <w:t>ocupación</w:t>
      </w:r>
      <w:r w:rsidR="00FD69D7">
        <w:rPr>
          <w:rFonts w:eastAsia="MS Mincho"/>
          <w:sz w:val="24"/>
          <w:szCs w:val="24"/>
          <w:lang w:val="es-EC"/>
        </w:rPr>
        <w:t>,</w:t>
      </w:r>
      <w:r w:rsidR="00E509D4">
        <w:rPr>
          <w:rFonts w:eastAsia="MS Mincho"/>
          <w:sz w:val="24"/>
          <w:szCs w:val="24"/>
          <w:lang w:val="es-EC"/>
        </w:rPr>
        <w:t xml:space="preserve"> como reflejo del </w:t>
      </w:r>
      <w:r w:rsidRPr="00C30323">
        <w:rPr>
          <w:rFonts w:eastAsia="MS Mincho"/>
          <w:sz w:val="24"/>
          <w:szCs w:val="24"/>
          <w:lang w:val="es-EC"/>
        </w:rPr>
        <w:t xml:space="preserve">modelo de desarrollo que ha </w:t>
      </w:r>
      <w:r w:rsidRPr="007D18A1">
        <w:rPr>
          <w:rFonts w:eastAsia="MS Mincho"/>
          <w:sz w:val="24"/>
          <w:szCs w:val="24"/>
          <w:lang w:val="es-EC"/>
        </w:rPr>
        <w:t xml:space="preserve">prevalecido en un </w:t>
      </w:r>
      <w:r w:rsidR="00E509D4">
        <w:rPr>
          <w:rFonts w:eastAsia="MS Mincho"/>
          <w:sz w:val="24"/>
          <w:szCs w:val="24"/>
          <w:lang w:val="es-EC"/>
        </w:rPr>
        <w:t>país o región</w:t>
      </w:r>
      <w:r w:rsidRPr="007D18A1">
        <w:rPr>
          <w:rFonts w:eastAsia="MS Mincho"/>
          <w:sz w:val="24"/>
          <w:szCs w:val="24"/>
          <w:lang w:val="es-EC"/>
        </w:rPr>
        <w:t xml:space="preserve"> </w:t>
      </w:r>
      <w:sdt>
        <w:sdtPr>
          <w:rPr>
            <w:sz w:val="24"/>
            <w:szCs w:val="24"/>
            <w:lang w:val="en-US"/>
          </w:rPr>
          <w:id w:val="901189308"/>
          <w:citation/>
        </w:sdtPr>
        <w:sdtEndPr/>
        <w:sdtContent>
          <w:r w:rsidR="005044DC" w:rsidRPr="007D18A1">
            <w:rPr>
              <w:sz w:val="24"/>
              <w:szCs w:val="24"/>
              <w:lang w:val="en-US"/>
            </w:rPr>
            <w:fldChar w:fldCharType="begin"/>
          </w:r>
          <w:r w:rsidR="005044DC" w:rsidRPr="007D18A1">
            <w:rPr>
              <w:sz w:val="24"/>
              <w:szCs w:val="24"/>
              <w:lang w:val="es-EC"/>
            </w:rPr>
            <w:instrText xml:space="preserve">CITATION Cor11 \l 1033 </w:instrText>
          </w:r>
          <w:r w:rsidR="005044DC" w:rsidRPr="007D18A1">
            <w:rPr>
              <w:sz w:val="24"/>
              <w:szCs w:val="24"/>
              <w:lang w:val="en-US"/>
            </w:rPr>
            <w:fldChar w:fldCharType="separate"/>
          </w:r>
          <w:r w:rsidR="007E60DF" w:rsidRPr="007E60DF">
            <w:rPr>
              <w:noProof/>
              <w:sz w:val="24"/>
              <w:szCs w:val="24"/>
              <w:lang w:val="es-EC"/>
            </w:rPr>
            <w:t>(Correa, et al., 2011)</w:t>
          </w:r>
          <w:r w:rsidR="005044DC" w:rsidRPr="007D18A1">
            <w:rPr>
              <w:sz w:val="24"/>
              <w:szCs w:val="24"/>
              <w:lang w:val="en-US"/>
            </w:rPr>
            <w:fldChar w:fldCharType="end"/>
          </w:r>
        </w:sdtContent>
      </w:sdt>
      <w:r w:rsidR="007D18A1" w:rsidRPr="007D18A1">
        <w:rPr>
          <w:sz w:val="24"/>
          <w:szCs w:val="24"/>
          <w:lang w:val="es-EC"/>
        </w:rPr>
        <w:t xml:space="preserve">. </w:t>
      </w:r>
      <w:r w:rsidR="00B32D2F">
        <w:rPr>
          <w:sz w:val="24"/>
          <w:szCs w:val="24"/>
          <w:lang w:val="es-EC"/>
        </w:rPr>
        <w:t>L</w:t>
      </w:r>
      <w:r w:rsidR="00D96A31">
        <w:rPr>
          <w:sz w:val="24"/>
          <w:szCs w:val="24"/>
          <w:lang w:val="es-EC"/>
        </w:rPr>
        <w:t xml:space="preserve">as deficiencias en la planificación </w:t>
      </w:r>
      <w:r w:rsidR="00B32D2F">
        <w:rPr>
          <w:sz w:val="24"/>
          <w:szCs w:val="24"/>
          <w:lang w:val="es-EC"/>
        </w:rPr>
        <w:t xml:space="preserve">territorial se deben en gran parte al </w:t>
      </w:r>
      <w:r w:rsidR="00D96A31">
        <w:rPr>
          <w:sz w:val="24"/>
          <w:szCs w:val="24"/>
          <w:lang w:val="es-EC"/>
        </w:rPr>
        <w:t xml:space="preserve">escaso conocimiento técnico </w:t>
      </w:r>
      <w:r w:rsidR="006230AC">
        <w:rPr>
          <w:sz w:val="24"/>
          <w:szCs w:val="24"/>
          <w:lang w:val="es-EC"/>
        </w:rPr>
        <w:t xml:space="preserve">de los </w:t>
      </w:r>
      <w:r w:rsidRPr="007D18A1">
        <w:rPr>
          <w:rFonts w:eastAsia="MS Mincho"/>
          <w:sz w:val="24"/>
          <w:szCs w:val="24"/>
          <w:lang w:val="es-EC"/>
        </w:rPr>
        <w:t>peligros n</w:t>
      </w:r>
      <w:r w:rsidR="006230AC">
        <w:rPr>
          <w:rFonts w:eastAsia="MS Mincho"/>
          <w:sz w:val="24"/>
          <w:szCs w:val="24"/>
          <w:lang w:val="es-EC"/>
        </w:rPr>
        <w:t>aturales a los que está expuesto el t</w:t>
      </w:r>
      <w:r w:rsidR="006230AC" w:rsidRPr="00C30323">
        <w:rPr>
          <w:rFonts w:eastAsia="MS Mincho"/>
          <w:sz w:val="24"/>
          <w:szCs w:val="24"/>
          <w:lang w:val="es-EC"/>
        </w:rPr>
        <w:t>err</w:t>
      </w:r>
      <w:r w:rsidR="006230AC">
        <w:rPr>
          <w:rFonts w:eastAsia="MS Mincho"/>
          <w:sz w:val="24"/>
          <w:szCs w:val="24"/>
          <w:lang w:val="es-EC"/>
        </w:rPr>
        <w:t>itorio</w:t>
      </w:r>
      <w:r w:rsidR="00B32D2F">
        <w:rPr>
          <w:rFonts w:eastAsia="MS Mincho"/>
          <w:sz w:val="24"/>
          <w:szCs w:val="24"/>
          <w:lang w:val="es-EC"/>
        </w:rPr>
        <w:t>, una débil gestión de riesgos</w:t>
      </w:r>
      <w:r w:rsidR="00D96A31">
        <w:rPr>
          <w:rFonts w:eastAsia="MS Mincho"/>
          <w:sz w:val="24"/>
          <w:szCs w:val="24"/>
          <w:lang w:val="es-EC"/>
        </w:rPr>
        <w:t xml:space="preserve"> </w:t>
      </w:r>
      <w:r w:rsidR="00B32D2F">
        <w:rPr>
          <w:rFonts w:eastAsia="MS Mincho"/>
          <w:sz w:val="24"/>
          <w:szCs w:val="24"/>
          <w:lang w:val="es-EC"/>
        </w:rPr>
        <w:t xml:space="preserve">y </w:t>
      </w:r>
      <w:r w:rsidR="00D96A31">
        <w:rPr>
          <w:rFonts w:eastAsia="MS Mincho"/>
          <w:sz w:val="24"/>
          <w:szCs w:val="24"/>
          <w:lang w:val="es-EC"/>
        </w:rPr>
        <w:t>deficiencias en los sistemas de administración territorial</w:t>
      </w:r>
      <w:r w:rsidR="006230AC">
        <w:rPr>
          <w:rFonts w:eastAsia="MS Mincho"/>
          <w:sz w:val="24"/>
          <w:szCs w:val="24"/>
          <w:lang w:val="es-EC"/>
        </w:rPr>
        <w:t xml:space="preserve"> </w:t>
      </w:r>
      <w:r w:rsidR="00D96A31">
        <w:rPr>
          <w:rFonts w:eastAsia="MS Mincho"/>
          <w:sz w:val="24"/>
          <w:szCs w:val="24"/>
          <w:lang w:val="es-EC"/>
        </w:rPr>
        <w:t xml:space="preserve">que dificultan entre otras cosas identificar la </w:t>
      </w:r>
      <w:r w:rsidR="006230AC" w:rsidRPr="00C30323">
        <w:rPr>
          <w:rFonts w:eastAsia="MS Mincho"/>
          <w:sz w:val="24"/>
          <w:szCs w:val="24"/>
          <w:lang w:val="es-EC"/>
        </w:rPr>
        <w:t>tenencia legítima de la</w:t>
      </w:r>
      <w:r w:rsidR="006230AC">
        <w:rPr>
          <w:rFonts w:eastAsia="MS Mincho"/>
          <w:sz w:val="24"/>
          <w:szCs w:val="24"/>
          <w:lang w:val="es-EC"/>
        </w:rPr>
        <w:t xml:space="preserve">s tierras, </w:t>
      </w:r>
      <w:r w:rsidR="00D96A31">
        <w:rPr>
          <w:rFonts w:eastAsia="MS Mincho"/>
          <w:sz w:val="24"/>
          <w:szCs w:val="24"/>
          <w:lang w:val="es-EC"/>
        </w:rPr>
        <w:t>especialmente en países en vías de desarrollo</w:t>
      </w:r>
      <w:r w:rsidR="00B32D2F" w:rsidRPr="00B32D2F">
        <w:rPr>
          <w:rFonts w:eastAsia="MS Mincho"/>
          <w:sz w:val="24"/>
          <w:szCs w:val="24"/>
          <w:lang w:val="es-EC"/>
        </w:rPr>
        <w:t xml:space="preserve">; </w:t>
      </w:r>
      <w:r w:rsidR="00FD69D7">
        <w:rPr>
          <w:rFonts w:eastAsia="MS Mincho"/>
          <w:sz w:val="24"/>
          <w:szCs w:val="24"/>
          <w:lang w:val="es-EC"/>
        </w:rPr>
        <w:t>impidiendo</w:t>
      </w:r>
      <w:r w:rsidRPr="007D18A1">
        <w:rPr>
          <w:rFonts w:eastAsia="MS Mincho"/>
          <w:sz w:val="24"/>
          <w:szCs w:val="24"/>
          <w:lang w:val="es-EC"/>
        </w:rPr>
        <w:t xml:space="preserve"> a las personas que pose</w:t>
      </w:r>
      <w:r w:rsidR="006230AC">
        <w:rPr>
          <w:rFonts w:eastAsia="MS Mincho"/>
          <w:sz w:val="24"/>
          <w:szCs w:val="24"/>
          <w:lang w:val="es-EC"/>
        </w:rPr>
        <w:t>en dichos derechos de propiedad</w:t>
      </w:r>
      <w:r w:rsidR="00D96A31">
        <w:rPr>
          <w:rFonts w:eastAsia="MS Mincho"/>
          <w:sz w:val="24"/>
          <w:szCs w:val="24"/>
          <w:lang w:val="es-EC"/>
        </w:rPr>
        <w:t xml:space="preserve"> y a los organismos</w:t>
      </w:r>
      <w:r w:rsidR="00B32D2F">
        <w:rPr>
          <w:rFonts w:eastAsia="MS Mincho"/>
          <w:sz w:val="24"/>
          <w:szCs w:val="24"/>
          <w:lang w:val="es-EC"/>
        </w:rPr>
        <w:t xml:space="preserve"> competentes</w:t>
      </w:r>
      <w:r w:rsidR="00FD69D7">
        <w:rPr>
          <w:rFonts w:eastAsia="MS Mincho"/>
          <w:sz w:val="24"/>
          <w:szCs w:val="24"/>
          <w:lang w:val="es-EC"/>
        </w:rPr>
        <w:t>,</w:t>
      </w:r>
      <w:r w:rsidR="00D96A31">
        <w:rPr>
          <w:rFonts w:eastAsia="MS Mincho"/>
          <w:sz w:val="24"/>
          <w:szCs w:val="24"/>
          <w:lang w:val="es-EC"/>
        </w:rPr>
        <w:t xml:space="preserve"> </w:t>
      </w:r>
      <w:r w:rsidRPr="007D18A1">
        <w:rPr>
          <w:rFonts w:eastAsia="MS Mincho"/>
          <w:sz w:val="24"/>
          <w:szCs w:val="24"/>
          <w:lang w:val="es-EC"/>
        </w:rPr>
        <w:t xml:space="preserve">llevar a cabo acciones de </w:t>
      </w:r>
      <w:r w:rsidRPr="007D18A1">
        <w:rPr>
          <w:rFonts w:eastAsia="MS Mincho"/>
          <w:sz w:val="24"/>
          <w:szCs w:val="24"/>
          <w:lang w:val="es-EC"/>
        </w:rPr>
        <w:lastRenderedPageBreak/>
        <w:t>prevenc</w:t>
      </w:r>
      <w:r w:rsidR="007D18A1" w:rsidRPr="007D18A1">
        <w:rPr>
          <w:rFonts w:eastAsia="MS Mincho"/>
          <w:sz w:val="24"/>
          <w:szCs w:val="24"/>
          <w:lang w:val="es-EC"/>
        </w:rPr>
        <w:t xml:space="preserve">ión y mitigación ante desastres </w:t>
      </w:r>
      <w:r w:rsidR="007D18A1">
        <w:rPr>
          <w:noProof/>
          <w:sz w:val="24"/>
          <w:szCs w:val="24"/>
          <w:lang w:val="es-EC"/>
        </w:rPr>
        <w:t xml:space="preserve">(Mitchell, et al., 2014; </w:t>
      </w:r>
      <w:r w:rsidR="007D18A1" w:rsidRPr="007D18A1">
        <w:rPr>
          <w:noProof/>
          <w:sz w:val="24"/>
          <w:szCs w:val="24"/>
          <w:lang w:val="es-EC"/>
        </w:rPr>
        <w:t>Mitchell, 2011)</w:t>
      </w:r>
      <w:r w:rsidR="007D18A1">
        <w:rPr>
          <w:lang w:val="es-EC"/>
        </w:rPr>
        <w:t xml:space="preserve">. </w:t>
      </w:r>
      <w:r w:rsidR="00FF07C3">
        <w:rPr>
          <w:rFonts w:eastAsia="MS Mincho"/>
          <w:sz w:val="24"/>
          <w:szCs w:val="24"/>
          <w:lang w:val="es-EC"/>
        </w:rPr>
        <w:t xml:space="preserve">Es así como se deja entre ver la estrecha relación </w:t>
      </w:r>
      <w:r w:rsidR="00D05E01">
        <w:rPr>
          <w:rFonts w:eastAsia="MS Mincho"/>
          <w:sz w:val="24"/>
          <w:szCs w:val="24"/>
          <w:lang w:val="es-EC"/>
        </w:rPr>
        <w:t>existente</w:t>
      </w:r>
      <w:r w:rsidR="00FF07C3">
        <w:rPr>
          <w:rFonts w:eastAsia="MS Mincho"/>
          <w:sz w:val="24"/>
          <w:szCs w:val="24"/>
          <w:lang w:val="es-EC"/>
        </w:rPr>
        <w:t xml:space="preserve"> entre la gestión de riesgos y la administración territorial</w:t>
      </w:r>
      <w:r w:rsidR="00FD69D7">
        <w:rPr>
          <w:rFonts w:eastAsia="MS Mincho"/>
          <w:sz w:val="24"/>
          <w:szCs w:val="24"/>
          <w:lang w:val="es-EC"/>
        </w:rPr>
        <w:t xml:space="preserve">. </w:t>
      </w:r>
      <w:r w:rsidR="00281705">
        <w:rPr>
          <w:rFonts w:eastAsia="MS Mincho"/>
          <w:sz w:val="24"/>
          <w:szCs w:val="24"/>
          <w:lang w:val="es-EC"/>
        </w:rPr>
        <w:t>Un caso</w:t>
      </w:r>
      <w:r w:rsidR="00F95303">
        <w:rPr>
          <w:rFonts w:eastAsia="MS Mincho"/>
          <w:sz w:val="24"/>
          <w:szCs w:val="24"/>
          <w:lang w:val="es-EC"/>
        </w:rPr>
        <w:t xml:space="preserve"> de estudio</w:t>
      </w:r>
      <w:r w:rsidR="00281705">
        <w:rPr>
          <w:rFonts w:eastAsia="MS Mincho"/>
          <w:sz w:val="24"/>
          <w:szCs w:val="24"/>
          <w:lang w:val="es-EC"/>
        </w:rPr>
        <w:t>,</w:t>
      </w:r>
      <w:r w:rsidR="009A5C3D">
        <w:rPr>
          <w:rFonts w:eastAsia="MS Mincho"/>
          <w:sz w:val="24"/>
          <w:szCs w:val="24"/>
          <w:lang w:val="es-EC"/>
        </w:rPr>
        <w:t xml:space="preserve"> </w:t>
      </w:r>
      <w:r w:rsidR="00D05E01">
        <w:rPr>
          <w:rFonts w:eastAsia="MS Mincho"/>
          <w:sz w:val="24"/>
          <w:szCs w:val="24"/>
          <w:lang w:val="es-EC"/>
        </w:rPr>
        <w:t xml:space="preserve">como </w:t>
      </w:r>
      <w:r w:rsidR="00F95303">
        <w:rPr>
          <w:rFonts w:eastAsia="MS Mincho"/>
          <w:sz w:val="24"/>
          <w:szCs w:val="24"/>
          <w:lang w:val="es-EC"/>
        </w:rPr>
        <w:t>el realizado durante la recup</w:t>
      </w:r>
      <w:r w:rsidR="00F936A7">
        <w:rPr>
          <w:rFonts w:eastAsia="MS Mincho"/>
          <w:sz w:val="24"/>
          <w:szCs w:val="24"/>
          <w:lang w:val="es-EC"/>
        </w:rPr>
        <w:t xml:space="preserve">eración y reconstrucción tras </w:t>
      </w:r>
      <w:r w:rsidR="00D05E01">
        <w:rPr>
          <w:rFonts w:eastAsia="MS Mincho"/>
          <w:sz w:val="24"/>
          <w:szCs w:val="24"/>
          <w:lang w:val="es-EC"/>
        </w:rPr>
        <w:t>el terremoto de magnitud 7.6</w:t>
      </w:r>
      <w:r w:rsidR="00B32D2F">
        <w:rPr>
          <w:rFonts w:eastAsia="MS Mincho"/>
          <w:sz w:val="24"/>
          <w:szCs w:val="24"/>
          <w:lang w:val="es-EC"/>
        </w:rPr>
        <w:t xml:space="preserve"> en la escala Richter</w:t>
      </w:r>
      <w:r w:rsidR="00D05E01">
        <w:rPr>
          <w:rFonts w:eastAsia="MS Mincho"/>
          <w:sz w:val="24"/>
          <w:szCs w:val="24"/>
          <w:lang w:val="es-EC"/>
        </w:rPr>
        <w:t xml:space="preserve"> </w:t>
      </w:r>
      <w:r w:rsidR="00F936A7">
        <w:rPr>
          <w:rFonts w:eastAsia="MS Mincho"/>
          <w:sz w:val="24"/>
          <w:szCs w:val="24"/>
          <w:lang w:val="es-EC"/>
        </w:rPr>
        <w:t>ocurrido en Nepal</w:t>
      </w:r>
      <w:r w:rsidR="00F95303">
        <w:rPr>
          <w:rFonts w:eastAsia="MS Mincho"/>
          <w:sz w:val="24"/>
          <w:szCs w:val="24"/>
          <w:lang w:val="es-EC"/>
        </w:rPr>
        <w:t xml:space="preserve">, </w:t>
      </w:r>
      <w:r w:rsidR="008E5E5C">
        <w:rPr>
          <w:rFonts w:eastAsia="MS Mincho"/>
          <w:sz w:val="24"/>
          <w:szCs w:val="24"/>
          <w:lang w:val="es-EC"/>
        </w:rPr>
        <w:t>demostró</w:t>
      </w:r>
      <w:r w:rsidR="00F936A7">
        <w:rPr>
          <w:rFonts w:eastAsia="MS Mincho"/>
          <w:sz w:val="24"/>
          <w:szCs w:val="24"/>
          <w:lang w:val="es-EC"/>
        </w:rPr>
        <w:t xml:space="preserve"> la importancia de</w:t>
      </w:r>
      <w:r w:rsidR="00D05E01">
        <w:rPr>
          <w:rFonts w:eastAsia="MS Mincho"/>
          <w:sz w:val="24"/>
          <w:szCs w:val="24"/>
          <w:lang w:val="es-EC"/>
        </w:rPr>
        <w:t xml:space="preserve"> un adecuado manejo </w:t>
      </w:r>
      <w:r w:rsidR="00F95303">
        <w:rPr>
          <w:rFonts w:eastAsia="MS Mincho"/>
          <w:sz w:val="24"/>
          <w:szCs w:val="24"/>
          <w:lang w:val="es-EC"/>
        </w:rPr>
        <w:t>del sistema de</w:t>
      </w:r>
      <w:r w:rsidR="00D05E01">
        <w:rPr>
          <w:rFonts w:eastAsia="MS Mincho"/>
          <w:sz w:val="24"/>
          <w:szCs w:val="24"/>
          <w:lang w:val="es-EC"/>
        </w:rPr>
        <w:t xml:space="preserve"> administración territorial </w:t>
      </w:r>
      <w:r w:rsidR="00F95303">
        <w:rPr>
          <w:rFonts w:eastAsia="MS Mincho"/>
          <w:sz w:val="24"/>
          <w:szCs w:val="24"/>
          <w:lang w:val="es-EC"/>
        </w:rPr>
        <w:t>antes y después de un desastre, ya que al</w:t>
      </w:r>
      <w:r w:rsidR="008E5E5C">
        <w:rPr>
          <w:rFonts w:eastAsia="MS Mincho"/>
          <w:sz w:val="24"/>
          <w:szCs w:val="24"/>
          <w:lang w:val="es-EC"/>
        </w:rPr>
        <w:t xml:space="preserve"> </w:t>
      </w:r>
      <w:r w:rsidR="00D05E01">
        <w:rPr>
          <w:rFonts w:eastAsia="MS Mincho"/>
          <w:sz w:val="24"/>
          <w:szCs w:val="24"/>
          <w:lang w:val="es-EC"/>
        </w:rPr>
        <w:t xml:space="preserve">mapear </w:t>
      </w:r>
      <w:r w:rsidR="008E5E5C">
        <w:rPr>
          <w:rFonts w:eastAsia="MS Mincho"/>
          <w:sz w:val="24"/>
          <w:szCs w:val="24"/>
          <w:lang w:val="es-EC"/>
        </w:rPr>
        <w:t>las relaciones entre las personas y la p</w:t>
      </w:r>
      <w:r w:rsidR="00B32D2F">
        <w:rPr>
          <w:rFonts w:eastAsia="MS Mincho"/>
          <w:sz w:val="24"/>
          <w:szCs w:val="24"/>
          <w:lang w:val="es-EC"/>
        </w:rPr>
        <w:t xml:space="preserve">ropiedad, </w:t>
      </w:r>
      <w:r w:rsidR="00281705">
        <w:rPr>
          <w:rFonts w:eastAsia="MS Mincho"/>
          <w:sz w:val="24"/>
          <w:szCs w:val="24"/>
          <w:lang w:val="es-EC"/>
        </w:rPr>
        <w:t>es posible</w:t>
      </w:r>
      <w:r w:rsidR="008E5E5C">
        <w:rPr>
          <w:rFonts w:eastAsia="MS Mincho"/>
          <w:sz w:val="24"/>
          <w:szCs w:val="24"/>
          <w:lang w:val="es-EC"/>
        </w:rPr>
        <w:t xml:space="preserve"> identificar a </w:t>
      </w:r>
      <w:r w:rsidR="002E0603">
        <w:rPr>
          <w:rFonts w:eastAsia="MS Mincho"/>
          <w:sz w:val="24"/>
          <w:szCs w:val="24"/>
          <w:lang w:val="es-EC"/>
        </w:rPr>
        <w:t xml:space="preserve">quienes </w:t>
      </w:r>
      <w:r w:rsidR="00F95303">
        <w:rPr>
          <w:rFonts w:eastAsia="MS Mincho"/>
          <w:sz w:val="24"/>
          <w:szCs w:val="24"/>
          <w:lang w:val="es-EC"/>
        </w:rPr>
        <w:t>deben y pueden</w:t>
      </w:r>
      <w:r w:rsidR="008E5E5C">
        <w:rPr>
          <w:rFonts w:eastAsia="MS Mincho"/>
          <w:sz w:val="24"/>
          <w:szCs w:val="24"/>
          <w:lang w:val="es-EC"/>
        </w:rPr>
        <w:t xml:space="preserve"> recibir</w:t>
      </w:r>
      <w:r w:rsidR="00F95303">
        <w:rPr>
          <w:rFonts w:eastAsia="MS Mincho"/>
          <w:sz w:val="24"/>
          <w:szCs w:val="24"/>
          <w:lang w:val="es-EC"/>
        </w:rPr>
        <w:t xml:space="preserve"> ayudas para la reconstrucción</w:t>
      </w:r>
      <w:r w:rsidR="00070D8B">
        <w:rPr>
          <w:rFonts w:eastAsia="MS Mincho"/>
          <w:sz w:val="24"/>
          <w:szCs w:val="24"/>
          <w:lang w:val="es-EC"/>
        </w:rPr>
        <w:t>,</w:t>
      </w:r>
      <w:r w:rsidR="00F95303">
        <w:rPr>
          <w:rFonts w:eastAsia="MS Mincho"/>
          <w:sz w:val="24"/>
          <w:szCs w:val="24"/>
          <w:lang w:val="es-EC"/>
        </w:rPr>
        <w:t xml:space="preserve"> facilitando </w:t>
      </w:r>
      <w:r w:rsidR="008E5E5C">
        <w:rPr>
          <w:rFonts w:eastAsia="MS Mincho"/>
          <w:sz w:val="24"/>
          <w:szCs w:val="24"/>
          <w:lang w:val="es-EC"/>
        </w:rPr>
        <w:t xml:space="preserve">la toma de decisiones </w:t>
      </w:r>
      <w:sdt>
        <w:sdtPr>
          <w:rPr>
            <w:rFonts w:eastAsia="MS Mincho"/>
            <w:sz w:val="24"/>
            <w:szCs w:val="24"/>
            <w:lang w:val="es-EC"/>
          </w:rPr>
          <w:id w:val="1496373573"/>
          <w:citation/>
        </w:sdtPr>
        <w:sdtEndPr/>
        <w:sdtContent>
          <w:r w:rsidR="008E5E5C">
            <w:rPr>
              <w:rFonts w:eastAsia="MS Mincho"/>
              <w:sz w:val="24"/>
              <w:szCs w:val="24"/>
              <w:lang w:val="es-EC"/>
            </w:rPr>
            <w:fldChar w:fldCharType="begin"/>
          </w:r>
          <w:r w:rsidR="00FB358F">
            <w:rPr>
              <w:rFonts w:eastAsia="MS Mincho"/>
              <w:sz w:val="24"/>
              <w:szCs w:val="24"/>
              <w:lang w:val="es-EC"/>
            </w:rPr>
            <w:instrText xml:space="preserve">CITATION Cre19 \l 12298 </w:instrText>
          </w:r>
          <w:r w:rsidR="008E5E5C">
            <w:rPr>
              <w:rFonts w:eastAsia="MS Mincho"/>
              <w:sz w:val="24"/>
              <w:szCs w:val="24"/>
              <w:lang w:val="es-EC"/>
            </w:rPr>
            <w:fldChar w:fldCharType="separate"/>
          </w:r>
          <w:r w:rsidR="007E60DF" w:rsidRPr="007E60DF">
            <w:rPr>
              <w:rFonts w:eastAsia="MS Mincho"/>
              <w:noProof/>
              <w:sz w:val="24"/>
              <w:szCs w:val="24"/>
              <w:lang w:val="es-EC"/>
            </w:rPr>
            <w:t>(Unger, et al., 2019)</w:t>
          </w:r>
          <w:r w:rsidR="008E5E5C">
            <w:rPr>
              <w:rFonts w:eastAsia="MS Mincho"/>
              <w:sz w:val="24"/>
              <w:szCs w:val="24"/>
              <w:lang w:val="es-EC"/>
            </w:rPr>
            <w:fldChar w:fldCharType="end"/>
          </w:r>
        </w:sdtContent>
      </w:sdt>
      <w:r w:rsidR="008E5E5C">
        <w:rPr>
          <w:rFonts w:eastAsia="MS Mincho"/>
          <w:sz w:val="24"/>
          <w:szCs w:val="24"/>
          <w:lang w:val="es-EC"/>
        </w:rPr>
        <w:t>.</w:t>
      </w:r>
      <w:r w:rsidR="00F95303">
        <w:rPr>
          <w:rFonts w:eastAsia="MS Mincho"/>
          <w:sz w:val="24"/>
          <w:szCs w:val="24"/>
          <w:lang w:val="es-EC"/>
        </w:rPr>
        <w:t xml:space="preserve"> </w:t>
      </w:r>
      <w:r w:rsidR="00070D8B">
        <w:rPr>
          <w:rFonts w:eastAsia="MS Mincho"/>
          <w:sz w:val="24"/>
          <w:szCs w:val="24"/>
          <w:lang w:val="es-EC"/>
        </w:rPr>
        <w:t xml:space="preserve">Con </w:t>
      </w:r>
      <w:r w:rsidR="00D75337">
        <w:rPr>
          <w:rFonts w:eastAsia="MS Mincho"/>
          <w:sz w:val="24"/>
          <w:szCs w:val="24"/>
          <w:lang w:val="es-EC"/>
        </w:rPr>
        <w:t>la finalidad de tratar los riesgo desde el ambito territorial</w:t>
      </w:r>
      <w:r w:rsidR="00F95303">
        <w:rPr>
          <w:rFonts w:eastAsia="MS Mincho"/>
          <w:sz w:val="24"/>
          <w:szCs w:val="24"/>
          <w:lang w:val="es-EC"/>
        </w:rPr>
        <w:t xml:space="preserve"> se han diseñado modelos basados en el </w:t>
      </w:r>
      <w:r w:rsidR="00070D8B">
        <w:rPr>
          <w:rFonts w:eastAsia="MS Mincho"/>
          <w:sz w:val="24"/>
          <w:szCs w:val="24"/>
          <w:lang w:val="es-EC"/>
        </w:rPr>
        <w:t>estándar</w:t>
      </w:r>
      <w:r w:rsidR="00F95303">
        <w:rPr>
          <w:rFonts w:eastAsia="MS Mincho"/>
          <w:sz w:val="24"/>
          <w:szCs w:val="24"/>
          <w:lang w:val="es-EC"/>
        </w:rPr>
        <w:t xml:space="preserve"> LADM</w:t>
      </w:r>
      <w:r w:rsidR="008E5E5C">
        <w:rPr>
          <w:rFonts w:eastAsia="MS Mincho"/>
          <w:sz w:val="24"/>
          <w:szCs w:val="24"/>
          <w:lang w:val="es-EC"/>
        </w:rPr>
        <w:t xml:space="preserve"> </w:t>
      </w:r>
      <w:r w:rsidR="00E42EC2">
        <w:rPr>
          <w:rFonts w:eastAsia="MS Mincho"/>
          <w:sz w:val="24"/>
          <w:szCs w:val="24"/>
          <w:lang w:val="es-EC"/>
        </w:rPr>
        <w:t>que permite</w:t>
      </w:r>
      <w:r w:rsidR="00F936A7">
        <w:rPr>
          <w:rFonts w:eastAsia="MS Mincho"/>
          <w:sz w:val="24"/>
          <w:szCs w:val="24"/>
          <w:lang w:val="es-EC"/>
        </w:rPr>
        <w:t>n</w:t>
      </w:r>
      <w:r w:rsidR="00E42EC2">
        <w:rPr>
          <w:rFonts w:eastAsia="MS Mincho"/>
          <w:sz w:val="24"/>
          <w:szCs w:val="24"/>
          <w:lang w:val="es-EC"/>
        </w:rPr>
        <w:t xml:space="preserve"> </w:t>
      </w:r>
      <w:r w:rsidR="00F936A7">
        <w:rPr>
          <w:rFonts w:eastAsia="MS Mincho"/>
          <w:sz w:val="24"/>
          <w:szCs w:val="24"/>
          <w:lang w:val="es-EC"/>
        </w:rPr>
        <w:t>gestionar</w:t>
      </w:r>
      <w:r w:rsidR="00E42EC2">
        <w:rPr>
          <w:rFonts w:eastAsia="MS Mincho"/>
          <w:sz w:val="24"/>
          <w:szCs w:val="24"/>
          <w:lang w:val="es-EC"/>
        </w:rPr>
        <w:t xml:space="preserve"> las relaciones entre las personas y la propiedad incluyendo aquellas </w:t>
      </w:r>
      <w:r w:rsidR="00070D8B">
        <w:rPr>
          <w:rFonts w:eastAsia="MS Mincho"/>
          <w:sz w:val="24"/>
          <w:szCs w:val="24"/>
          <w:lang w:val="es-EC"/>
        </w:rPr>
        <w:t xml:space="preserve">derivadas de </w:t>
      </w:r>
      <w:r w:rsidR="00E42EC2">
        <w:rPr>
          <w:rFonts w:eastAsia="MS Mincho"/>
          <w:sz w:val="24"/>
          <w:szCs w:val="24"/>
          <w:lang w:val="es-EC"/>
        </w:rPr>
        <w:t xml:space="preserve">un </w:t>
      </w:r>
      <w:r w:rsidR="00E42EC2" w:rsidRPr="007D18A1">
        <w:rPr>
          <w:rFonts w:eastAsia="MS Mincho"/>
          <w:sz w:val="24"/>
          <w:szCs w:val="24"/>
          <w:lang w:val="es-EC"/>
        </w:rPr>
        <w:t>contexto de desastre</w:t>
      </w:r>
      <w:r w:rsidR="00F936A7" w:rsidRPr="007D18A1">
        <w:rPr>
          <w:rFonts w:eastAsia="MS Mincho"/>
          <w:sz w:val="24"/>
          <w:szCs w:val="24"/>
          <w:lang w:val="es-EC"/>
        </w:rPr>
        <w:t xml:space="preserve"> natural</w:t>
      </w:r>
      <w:r w:rsidR="00E42EC2" w:rsidRPr="007D18A1">
        <w:rPr>
          <w:rFonts w:eastAsia="MS Mincho"/>
          <w:sz w:val="24"/>
          <w:szCs w:val="24"/>
          <w:lang w:val="es-EC"/>
        </w:rPr>
        <w:t xml:space="preserve"> </w:t>
      </w:r>
      <w:sdt>
        <w:sdtPr>
          <w:rPr>
            <w:rFonts w:eastAsia="MS Mincho"/>
            <w:sz w:val="24"/>
            <w:szCs w:val="24"/>
            <w:lang w:val="es-EC"/>
          </w:rPr>
          <w:id w:val="2069454212"/>
          <w:citation/>
        </w:sdtPr>
        <w:sdtEndPr/>
        <w:sdtContent>
          <w:r w:rsidR="00E42EC2" w:rsidRPr="007D18A1">
            <w:rPr>
              <w:rFonts w:eastAsia="MS Mincho"/>
              <w:sz w:val="24"/>
              <w:szCs w:val="24"/>
              <w:lang w:val="es-EC"/>
            </w:rPr>
            <w:fldChar w:fldCharType="begin"/>
          </w:r>
          <w:r w:rsidR="00E42EC2" w:rsidRPr="007D18A1">
            <w:rPr>
              <w:rFonts w:eastAsia="MS Mincho"/>
              <w:sz w:val="24"/>
              <w:szCs w:val="24"/>
              <w:lang w:val="es-EC"/>
            </w:rPr>
            <w:instrText xml:space="preserve">CITATION Ung19 \l 1033 </w:instrText>
          </w:r>
          <w:r w:rsidR="00E42EC2" w:rsidRPr="007D18A1">
            <w:rPr>
              <w:rFonts w:eastAsia="MS Mincho"/>
              <w:sz w:val="24"/>
              <w:szCs w:val="24"/>
              <w:lang w:val="es-EC"/>
            </w:rPr>
            <w:fldChar w:fldCharType="separate"/>
          </w:r>
          <w:r w:rsidR="007E60DF" w:rsidRPr="007E60DF">
            <w:rPr>
              <w:rFonts w:eastAsia="MS Mincho"/>
              <w:noProof/>
              <w:sz w:val="24"/>
              <w:szCs w:val="24"/>
              <w:lang w:val="es-EC"/>
            </w:rPr>
            <w:t>(Unger, et al., 2019)</w:t>
          </w:r>
          <w:r w:rsidR="00E42EC2" w:rsidRPr="007D18A1">
            <w:rPr>
              <w:rFonts w:eastAsia="MS Mincho"/>
              <w:sz w:val="24"/>
              <w:szCs w:val="24"/>
              <w:lang w:val="es-EC"/>
            </w:rPr>
            <w:fldChar w:fldCharType="end"/>
          </w:r>
        </w:sdtContent>
      </w:sdt>
      <w:r w:rsidR="00E42EC2" w:rsidRPr="007D18A1">
        <w:rPr>
          <w:rFonts w:eastAsia="MS Mincho"/>
          <w:sz w:val="24"/>
          <w:szCs w:val="24"/>
          <w:lang w:val="es-EC"/>
        </w:rPr>
        <w:t xml:space="preserve">. </w:t>
      </w:r>
      <w:r w:rsidRPr="007D18A1">
        <w:rPr>
          <w:rFonts w:eastAsia="MS Mincho"/>
          <w:sz w:val="24"/>
          <w:szCs w:val="24"/>
          <w:lang w:val="es-EC"/>
        </w:rPr>
        <w:t xml:space="preserve">Trabajos como “Innovative land use planning for natural Hazard risk reduction: A consequence-driven approach from New Zealand” de </w:t>
      </w:r>
      <w:r w:rsidR="007D18A1" w:rsidRPr="007D18A1">
        <w:rPr>
          <w:rFonts w:eastAsia="MS Mincho"/>
          <w:sz w:val="24"/>
          <w:szCs w:val="24"/>
          <w:lang w:val="es-EC"/>
        </w:rPr>
        <w:t xml:space="preserve">Saunders y Kilvington </w:t>
      </w:r>
      <w:sdt>
        <w:sdtPr>
          <w:rPr>
            <w:sz w:val="24"/>
            <w:szCs w:val="24"/>
            <w:lang w:val="en-US"/>
          </w:rPr>
          <w:id w:val="1509257361"/>
          <w:citation/>
        </w:sdtPr>
        <w:sdtEndPr/>
        <w:sdtContent>
          <w:r w:rsidR="007D18A1" w:rsidRPr="007D18A1">
            <w:rPr>
              <w:sz w:val="24"/>
              <w:szCs w:val="24"/>
              <w:lang w:val="en-US"/>
            </w:rPr>
            <w:fldChar w:fldCharType="begin"/>
          </w:r>
          <w:r w:rsidR="007D18A1" w:rsidRPr="007D18A1">
            <w:rPr>
              <w:sz w:val="24"/>
              <w:szCs w:val="24"/>
              <w:lang w:val="es-EC"/>
            </w:rPr>
            <w:instrText xml:space="preserve">CITATION Sau16 \n  \t  \l 1033 </w:instrText>
          </w:r>
          <w:r w:rsidR="007D18A1" w:rsidRPr="007D18A1">
            <w:rPr>
              <w:sz w:val="24"/>
              <w:szCs w:val="24"/>
              <w:lang w:val="en-US"/>
            </w:rPr>
            <w:fldChar w:fldCharType="separate"/>
          </w:r>
          <w:r w:rsidR="007E60DF" w:rsidRPr="007E60DF">
            <w:rPr>
              <w:noProof/>
              <w:sz w:val="24"/>
              <w:szCs w:val="24"/>
              <w:lang w:val="es-EC"/>
            </w:rPr>
            <w:t>(2016)</w:t>
          </w:r>
          <w:r w:rsidR="007D18A1" w:rsidRPr="007D18A1">
            <w:rPr>
              <w:sz w:val="24"/>
              <w:szCs w:val="24"/>
              <w:lang w:val="en-US"/>
            </w:rPr>
            <w:fldChar w:fldCharType="end"/>
          </w:r>
        </w:sdtContent>
      </w:sdt>
      <w:r w:rsidR="007D18A1" w:rsidRPr="007D18A1">
        <w:rPr>
          <w:sz w:val="24"/>
          <w:szCs w:val="24"/>
          <w:lang w:val="es-EC"/>
        </w:rPr>
        <w:t>, y</w:t>
      </w:r>
      <w:r w:rsidRPr="00C30323">
        <w:rPr>
          <w:rFonts w:eastAsia="MS Mincho"/>
          <w:sz w:val="24"/>
          <w:szCs w:val="24"/>
          <w:lang w:val="es-EC"/>
        </w:rPr>
        <w:t xml:space="preserve"> “Using land administration for land risk management” de </w:t>
      </w:r>
      <w:r w:rsidR="007D18A1" w:rsidRPr="00C30323">
        <w:rPr>
          <w:rFonts w:eastAsia="MS Mincho"/>
          <w:sz w:val="24"/>
          <w:szCs w:val="24"/>
          <w:lang w:val="es-EC"/>
        </w:rPr>
        <w:t>Potts</w:t>
      </w:r>
      <w:r w:rsidR="007D18A1" w:rsidRPr="007D18A1">
        <w:rPr>
          <w:sz w:val="24"/>
          <w:szCs w:val="24"/>
          <w:lang w:val="es-EC"/>
        </w:rPr>
        <w:t xml:space="preserve"> </w:t>
      </w:r>
      <w:sdt>
        <w:sdtPr>
          <w:rPr>
            <w:sz w:val="24"/>
            <w:szCs w:val="24"/>
            <w:lang w:val="en-US"/>
          </w:rPr>
          <w:id w:val="101694798"/>
          <w:citation/>
        </w:sdtPr>
        <w:sdtEndPr/>
        <w:sdtContent>
          <w:r w:rsidR="007D18A1" w:rsidRPr="007D18A1">
            <w:rPr>
              <w:sz w:val="24"/>
              <w:szCs w:val="24"/>
              <w:lang w:val="en-US"/>
            </w:rPr>
            <w:fldChar w:fldCharType="begin"/>
          </w:r>
          <w:r w:rsidR="0000378C">
            <w:rPr>
              <w:sz w:val="24"/>
              <w:szCs w:val="24"/>
              <w:lang w:val="es-EC"/>
            </w:rPr>
            <w:instrText xml:space="preserve">CITATION Usi13 \n  \t  \l 1033 </w:instrText>
          </w:r>
          <w:r w:rsidR="007D18A1" w:rsidRPr="007D18A1">
            <w:rPr>
              <w:sz w:val="24"/>
              <w:szCs w:val="24"/>
              <w:lang w:val="en-US"/>
            </w:rPr>
            <w:fldChar w:fldCharType="separate"/>
          </w:r>
          <w:r w:rsidR="007E60DF" w:rsidRPr="007E60DF">
            <w:rPr>
              <w:noProof/>
              <w:sz w:val="24"/>
              <w:szCs w:val="24"/>
              <w:lang w:val="es-EC"/>
            </w:rPr>
            <w:t>(2013)</w:t>
          </w:r>
          <w:r w:rsidR="007D18A1" w:rsidRPr="007D18A1">
            <w:rPr>
              <w:sz w:val="24"/>
              <w:szCs w:val="24"/>
              <w:lang w:val="en-US"/>
            </w:rPr>
            <w:fldChar w:fldCharType="end"/>
          </w:r>
        </w:sdtContent>
      </w:sdt>
      <w:r w:rsidR="007D18A1" w:rsidRPr="00C30323">
        <w:rPr>
          <w:rFonts w:eastAsia="MS Mincho"/>
          <w:sz w:val="24"/>
          <w:szCs w:val="24"/>
          <w:lang w:val="es-EC"/>
        </w:rPr>
        <w:t xml:space="preserve"> </w:t>
      </w:r>
      <w:r w:rsidR="00070D8B">
        <w:rPr>
          <w:rFonts w:eastAsia="MS Mincho"/>
          <w:sz w:val="24"/>
          <w:szCs w:val="24"/>
          <w:lang w:val="es-EC"/>
        </w:rPr>
        <w:t xml:space="preserve">no </w:t>
      </w:r>
      <w:r w:rsidR="002E0603">
        <w:rPr>
          <w:rFonts w:eastAsia="MS Mincho"/>
          <w:sz w:val="24"/>
          <w:szCs w:val="24"/>
          <w:lang w:val="es-EC"/>
        </w:rPr>
        <w:t xml:space="preserve">solo </w:t>
      </w:r>
      <w:r w:rsidR="00070D8B">
        <w:rPr>
          <w:rFonts w:eastAsia="MS Mincho"/>
          <w:sz w:val="24"/>
          <w:szCs w:val="24"/>
          <w:lang w:val="es-EC"/>
        </w:rPr>
        <w:t xml:space="preserve">aplican las herramientas de administración territorial </w:t>
      </w:r>
      <w:r w:rsidR="00F936A7">
        <w:rPr>
          <w:rFonts w:eastAsia="MS Mincho"/>
          <w:sz w:val="24"/>
          <w:szCs w:val="24"/>
          <w:lang w:val="es-EC"/>
        </w:rPr>
        <w:t xml:space="preserve">como ayuda </w:t>
      </w:r>
      <w:r w:rsidR="002E0603">
        <w:rPr>
          <w:rFonts w:eastAsia="MS Mincho"/>
          <w:sz w:val="24"/>
          <w:szCs w:val="24"/>
          <w:lang w:val="es-EC"/>
        </w:rPr>
        <w:t xml:space="preserve">para llevar los registros </w:t>
      </w:r>
      <w:r w:rsidR="00F936A7">
        <w:rPr>
          <w:rFonts w:eastAsia="MS Mincho"/>
          <w:sz w:val="24"/>
          <w:szCs w:val="24"/>
          <w:lang w:val="es-EC"/>
        </w:rPr>
        <w:t>en la</w:t>
      </w:r>
      <w:r w:rsidR="002E0603">
        <w:rPr>
          <w:rFonts w:eastAsia="MS Mincho"/>
          <w:sz w:val="24"/>
          <w:szCs w:val="24"/>
          <w:lang w:val="es-EC"/>
        </w:rPr>
        <w:t xml:space="preserve"> etapa</w:t>
      </w:r>
      <w:r w:rsidR="00070D8B">
        <w:rPr>
          <w:rFonts w:eastAsia="MS Mincho"/>
          <w:sz w:val="24"/>
          <w:szCs w:val="24"/>
          <w:lang w:val="es-EC"/>
        </w:rPr>
        <w:t xml:space="preserve"> pos desastre</w:t>
      </w:r>
      <w:r w:rsidR="002E0603">
        <w:rPr>
          <w:rFonts w:eastAsia="MS Mincho"/>
          <w:sz w:val="24"/>
          <w:szCs w:val="24"/>
          <w:lang w:val="es-EC"/>
        </w:rPr>
        <w:t>,</w:t>
      </w:r>
      <w:r w:rsidR="00070D8B">
        <w:rPr>
          <w:rFonts w:eastAsia="MS Mincho"/>
          <w:sz w:val="24"/>
          <w:szCs w:val="24"/>
          <w:lang w:val="es-EC"/>
        </w:rPr>
        <w:t xml:space="preserve"> sino</w:t>
      </w:r>
      <w:r w:rsidR="002E0603">
        <w:rPr>
          <w:rFonts w:eastAsia="MS Mincho"/>
          <w:sz w:val="24"/>
          <w:szCs w:val="24"/>
          <w:lang w:val="es-EC"/>
        </w:rPr>
        <w:t>,</w:t>
      </w:r>
      <w:r w:rsidR="00070D8B">
        <w:rPr>
          <w:rFonts w:eastAsia="MS Mincho"/>
          <w:sz w:val="24"/>
          <w:szCs w:val="24"/>
          <w:lang w:val="es-EC"/>
        </w:rPr>
        <w:t xml:space="preserve"> que </w:t>
      </w:r>
      <w:r w:rsidRPr="00C30323">
        <w:rPr>
          <w:rFonts w:eastAsia="MS Mincho"/>
          <w:sz w:val="24"/>
          <w:szCs w:val="24"/>
          <w:lang w:val="es-EC"/>
        </w:rPr>
        <w:t xml:space="preserve">incorporan al riesgo como factor </w:t>
      </w:r>
      <w:r w:rsidR="00F936A7">
        <w:rPr>
          <w:rFonts w:eastAsia="MS Mincho"/>
          <w:sz w:val="24"/>
          <w:szCs w:val="24"/>
          <w:lang w:val="es-EC"/>
        </w:rPr>
        <w:t>fundamental</w:t>
      </w:r>
      <w:r w:rsidRPr="00C30323">
        <w:rPr>
          <w:rFonts w:eastAsia="MS Mincho"/>
          <w:sz w:val="24"/>
          <w:szCs w:val="24"/>
          <w:lang w:val="es-EC"/>
        </w:rPr>
        <w:t xml:space="preserve"> dentro de la planificación territorial</w:t>
      </w:r>
      <w:r w:rsidR="00F936A7">
        <w:rPr>
          <w:rFonts w:eastAsia="MS Mincho"/>
          <w:sz w:val="24"/>
          <w:szCs w:val="24"/>
          <w:lang w:val="es-EC"/>
        </w:rPr>
        <w:t>,</w:t>
      </w:r>
      <w:r w:rsidR="00070D8B">
        <w:rPr>
          <w:rFonts w:eastAsia="MS Mincho"/>
          <w:sz w:val="24"/>
          <w:szCs w:val="24"/>
          <w:lang w:val="es-EC"/>
        </w:rPr>
        <w:t xml:space="preserve"> en una de las primeras fases </w:t>
      </w:r>
      <w:r w:rsidR="00F936A7">
        <w:rPr>
          <w:rFonts w:eastAsia="MS Mincho"/>
          <w:sz w:val="24"/>
          <w:szCs w:val="24"/>
          <w:lang w:val="es-EC"/>
        </w:rPr>
        <w:t xml:space="preserve">para el tratamiento del riesgo </w:t>
      </w:r>
      <w:r w:rsidR="00070D8B">
        <w:rPr>
          <w:rFonts w:eastAsia="MS Mincho"/>
          <w:sz w:val="24"/>
          <w:szCs w:val="24"/>
          <w:lang w:val="es-EC"/>
        </w:rPr>
        <w:t>que sería la prevención</w:t>
      </w:r>
      <w:r w:rsidRPr="00C30323">
        <w:rPr>
          <w:rFonts w:eastAsia="MS Mincho"/>
          <w:sz w:val="24"/>
          <w:szCs w:val="24"/>
          <w:lang w:val="es-EC"/>
        </w:rPr>
        <w:t xml:space="preserve">, lo cual permite </w:t>
      </w:r>
      <w:r w:rsidR="002E0603">
        <w:rPr>
          <w:rFonts w:eastAsia="MS Mincho"/>
          <w:sz w:val="24"/>
          <w:szCs w:val="24"/>
          <w:lang w:val="es-EC"/>
        </w:rPr>
        <w:t>mejorar la</w:t>
      </w:r>
      <w:r w:rsidRPr="00C30323">
        <w:rPr>
          <w:rFonts w:eastAsia="MS Mincho"/>
          <w:sz w:val="24"/>
          <w:szCs w:val="24"/>
          <w:lang w:val="es-EC"/>
        </w:rPr>
        <w:t xml:space="preserve"> toma de decisiones y generar e implementar prácticas y estrategias efectivas para alcanzar el desarrollo de comunidades resilientes. </w:t>
      </w:r>
    </w:p>
    <w:p w:rsidR="005044DC" w:rsidRPr="007D18A1" w:rsidRDefault="00C30323" w:rsidP="007D18A1">
      <w:pPr>
        <w:pStyle w:val="Textoindependiente"/>
        <w:ind w:firstLine="567"/>
        <w:contextualSpacing/>
        <w:jc w:val="both"/>
        <w:rPr>
          <w:sz w:val="24"/>
          <w:szCs w:val="24"/>
          <w:lang w:val="es-EC"/>
        </w:rPr>
      </w:pPr>
      <w:r w:rsidRPr="00C30323">
        <w:rPr>
          <w:rFonts w:eastAsia="MS Mincho"/>
          <w:sz w:val="24"/>
          <w:szCs w:val="24"/>
          <w:lang w:val="es-EC"/>
        </w:rPr>
        <w:t xml:space="preserve">    En el contexto latinoamericano debido a la vulnerabilidad de la región frente a la ocurrencia de desastres nat</w:t>
      </w:r>
      <w:r w:rsidR="002E0603">
        <w:rPr>
          <w:rFonts w:eastAsia="MS Mincho"/>
          <w:sz w:val="24"/>
          <w:szCs w:val="24"/>
          <w:lang w:val="es-EC"/>
        </w:rPr>
        <w:t>urales, organismos como la Comunidad Andina de Naciones (CAN)</w:t>
      </w:r>
      <w:r w:rsidRPr="00C30323">
        <w:rPr>
          <w:rFonts w:eastAsia="MS Mincho"/>
          <w:sz w:val="24"/>
          <w:szCs w:val="24"/>
          <w:lang w:val="es-EC"/>
        </w:rPr>
        <w:t xml:space="preserve"> o Cooperación Alemana</w:t>
      </w:r>
      <w:r w:rsidR="002E0603">
        <w:rPr>
          <w:rFonts w:eastAsia="MS Mincho"/>
          <w:sz w:val="24"/>
          <w:szCs w:val="24"/>
          <w:lang w:val="es-EC"/>
        </w:rPr>
        <w:t xml:space="preserve"> (GiZ)</w:t>
      </w:r>
      <w:r w:rsidRPr="00C30323">
        <w:rPr>
          <w:rFonts w:eastAsia="MS Mincho"/>
          <w:sz w:val="24"/>
          <w:szCs w:val="24"/>
          <w:lang w:val="es-EC"/>
        </w:rPr>
        <w:t xml:space="preserve"> </w:t>
      </w:r>
      <w:r w:rsidRPr="007D18A1">
        <w:rPr>
          <w:rFonts w:eastAsia="MS Mincho"/>
          <w:sz w:val="24"/>
          <w:szCs w:val="24"/>
          <w:lang w:val="es-EC"/>
        </w:rPr>
        <w:t>han dado elementos básicos sobre amenaza, vulnerabilidad y riesgo y su relación con el territorio en busca de facilitar la articulación del ordenamiento territorial y la gestión de riesgos de desastres</w:t>
      </w:r>
      <w:r w:rsidR="007D18A1" w:rsidRPr="007D18A1">
        <w:rPr>
          <w:rFonts w:eastAsia="MS Mincho"/>
          <w:sz w:val="24"/>
          <w:szCs w:val="24"/>
          <w:lang w:val="es-EC"/>
        </w:rPr>
        <w:t xml:space="preserve"> </w:t>
      </w:r>
      <w:r w:rsidR="007D18A1">
        <w:rPr>
          <w:noProof/>
          <w:sz w:val="24"/>
          <w:szCs w:val="24"/>
          <w:lang w:val="es-EC"/>
        </w:rPr>
        <w:t xml:space="preserve">(Vargas </w:t>
      </w:r>
      <w:r w:rsidR="00D0652A">
        <w:rPr>
          <w:noProof/>
          <w:sz w:val="24"/>
          <w:szCs w:val="24"/>
          <w:lang w:val="es-EC"/>
        </w:rPr>
        <w:t>y</w:t>
      </w:r>
      <w:r w:rsidR="007D18A1">
        <w:rPr>
          <w:noProof/>
          <w:sz w:val="24"/>
          <w:szCs w:val="24"/>
          <w:lang w:val="es-EC"/>
        </w:rPr>
        <w:t xml:space="preserve"> Ramírez, 2009; </w:t>
      </w:r>
      <w:r w:rsidR="007D18A1" w:rsidRPr="007D18A1">
        <w:rPr>
          <w:noProof/>
          <w:sz w:val="24"/>
          <w:szCs w:val="24"/>
          <w:lang w:val="es-EC"/>
        </w:rPr>
        <w:t>Rojas, 2013)</w:t>
      </w:r>
      <w:r w:rsidR="007D18A1">
        <w:rPr>
          <w:lang w:val="es-EC"/>
        </w:rPr>
        <w:t xml:space="preserve">. </w:t>
      </w:r>
      <w:r w:rsidRPr="00C30323">
        <w:rPr>
          <w:rFonts w:eastAsia="MS Mincho"/>
          <w:sz w:val="24"/>
          <w:szCs w:val="24"/>
          <w:lang w:val="es-EC"/>
        </w:rPr>
        <w:t>Sin embargo, pese a iniciativas puntuales a nivel regional y local, aún no se cuentan con verdaderos procedimientos y metodologías que permitan alcanzar una planificación territorial capaz de afrontar los riesgos asociados a los peligros naturales, aun cuando los problemas referentes a riesgos naturales pueden ser identificados con cierta facilidad y existen medidas de mitigación cuyos beneficios al reducir la vulnerabilidad son ampliamente mayores frente a los costos de no hacerlo. En América Latina y el Caribe, 90% de los fondos internacionales destinados al manejo de amenazas naturales son usados en actividades de preparación, auxilio, rehabilitación y reconstrucción mientras solo un 10% se destina a la prevención, pese a conocerse que el método más efectivo para reducir el impacto negativo de estos eventos naturales es incorporar la evaluación y mitigación de amenazas naturales dentro de los procesos de planificación y desarrollo territorial</w:t>
      </w:r>
      <w:r w:rsidR="007D18A1">
        <w:rPr>
          <w:rFonts w:eastAsia="MS Mincho"/>
          <w:sz w:val="24"/>
          <w:szCs w:val="24"/>
          <w:lang w:val="es-EC"/>
        </w:rPr>
        <w:t xml:space="preserve"> </w:t>
      </w:r>
      <w:r w:rsidR="007D18A1">
        <w:rPr>
          <w:rFonts w:eastAsia="MS Mincho"/>
          <w:noProof/>
          <w:sz w:val="24"/>
          <w:szCs w:val="24"/>
          <w:lang w:val="es-EC"/>
        </w:rPr>
        <w:t xml:space="preserve">(Mitchell, et al., 2014; </w:t>
      </w:r>
      <w:r w:rsidR="007D18A1">
        <w:rPr>
          <w:noProof/>
          <w:sz w:val="24"/>
          <w:szCs w:val="24"/>
          <w:lang w:val="es-EC"/>
        </w:rPr>
        <w:t xml:space="preserve">OEA, 1991; </w:t>
      </w:r>
      <w:r w:rsidR="007D18A1" w:rsidRPr="007D18A1">
        <w:rPr>
          <w:noProof/>
          <w:sz w:val="24"/>
          <w:szCs w:val="24"/>
          <w:lang w:val="es-EC"/>
        </w:rPr>
        <w:t>UNISDR AM, 2016)</w:t>
      </w:r>
      <w:r w:rsidR="007D18A1">
        <w:rPr>
          <w:noProof/>
          <w:sz w:val="24"/>
          <w:szCs w:val="24"/>
          <w:lang w:val="es-EC"/>
        </w:rPr>
        <w:t>.</w:t>
      </w:r>
      <w:r w:rsidR="007D18A1">
        <w:rPr>
          <w:sz w:val="24"/>
          <w:szCs w:val="24"/>
          <w:lang w:val="es-EC"/>
        </w:rPr>
        <w:t xml:space="preserve"> </w:t>
      </w:r>
      <w:r w:rsidRPr="00C30323">
        <w:rPr>
          <w:rFonts w:eastAsia="MS Mincho"/>
          <w:sz w:val="24"/>
          <w:szCs w:val="24"/>
          <w:lang w:val="es-EC"/>
        </w:rPr>
        <w:t xml:space="preserve">El uso de información acerca del manejo de tierras y de las herramientas de administración territorial en la gestión de riesgos mejora las operaciones de emergencia y permite a los ‘stakeholders’ identificar, analizar, evaluar y seleccionar los tratamientos más apropiados para el riesgo, sin embargo, continúan limitados a sus usos históricos como es el cobro de impuestos </w:t>
      </w:r>
      <w:sdt>
        <w:sdtPr>
          <w:rPr>
            <w:rFonts w:eastAsia="MS Mincho"/>
            <w:sz w:val="24"/>
            <w:szCs w:val="24"/>
            <w:lang w:val="es-EC"/>
          </w:rPr>
          <w:id w:val="1800715704"/>
          <w:citation/>
        </w:sdtPr>
        <w:sdtEndPr/>
        <w:sdtContent>
          <w:r w:rsidR="0036232D">
            <w:rPr>
              <w:rFonts w:eastAsia="MS Mincho"/>
              <w:sz w:val="24"/>
              <w:szCs w:val="24"/>
              <w:lang w:val="es-EC"/>
            </w:rPr>
            <w:fldChar w:fldCharType="begin"/>
          </w:r>
          <w:r w:rsidR="0000378C">
            <w:rPr>
              <w:rFonts w:eastAsia="MS Mincho"/>
              <w:sz w:val="24"/>
              <w:szCs w:val="24"/>
              <w:lang w:val="es-EC"/>
            </w:rPr>
            <w:instrText xml:space="preserve">CITATION Usi13 \l 1033 </w:instrText>
          </w:r>
          <w:r w:rsidR="0036232D">
            <w:rPr>
              <w:rFonts w:eastAsia="MS Mincho"/>
              <w:sz w:val="24"/>
              <w:szCs w:val="24"/>
              <w:lang w:val="es-EC"/>
            </w:rPr>
            <w:fldChar w:fldCharType="separate"/>
          </w:r>
          <w:r w:rsidR="007E60DF" w:rsidRPr="007E60DF">
            <w:rPr>
              <w:rFonts w:eastAsia="MS Mincho"/>
              <w:noProof/>
              <w:sz w:val="24"/>
              <w:szCs w:val="24"/>
              <w:lang w:val="es-EC"/>
            </w:rPr>
            <w:t>(Potts, 2013)</w:t>
          </w:r>
          <w:r w:rsidR="0036232D">
            <w:rPr>
              <w:rFonts w:eastAsia="MS Mincho"/>
              <w:sz w:val="24"/>
              <w:szCs w:val="24"/>
              <w:lang w:val="es-EC"/>
            </w:rPr>
            <w:fldChar w:fldCharType="end"/>
          </w:r>
        </w:sdtContent>
      </w:sdt>
      <w:r w:rsidRPr="00C30323">
        <w:rPr>
          <w:rFonts w:eastAsia="MS Mincho"/>
          <w:sz w:val="24"/>
          <w:szCs w:val="24"/>
          <w:lang w:val="es-EC"/>
        </w:rPr>
        <w:t xml:space="preserve">. </w:t>
      </w:r>
    </w:p>
    <w:p w:rsidR="00C47B0A" w:rsidRDefault="00C30323" w:rsidP="009A07EF">
      <w:pPr>
        <w:pStyle w:val="Textoindependiente"/>
        <w:spacing w:after="0"/>
        <w:ind w:firstLine="567"/>
        <w:contextualSpacing/>
        <w:jc w:val="both"/>
        <w:rPr>
          <w:rFonts w:eastAsia="MS Mincho"/>
          <w:sz w:val="24"/>
          <w:szCs w:val="24"/>
          <w:lang w:val="es-EC"/>
        </w:rPr>
      </w:pPr>
      <w:r w:rsidRPr="00C30323">
        <w:rPr>
          <w:rFonts w:eastAsia="MS Mincho"/>
          <w:sz w:val="24"/>
          <w:szCs w:val="24"/>
          <w:lang w:val="es-EC"/>
        </w:rPr>
        <w:t xml:space="preserve">Los sistemas de administración territorial son infraestructuras compuestas por diversas instituciones, marcos legales, información territorial y componentes técnicos que posibilitan la implementación de políticas y estrategias territoriales, y poseen el gran potencial de facilitar la gestión de múltiples riesgos. El desarrollo del presente proyecto tuvo por objetivo </w:t>
      </w:r>
      <w:r w:rsidR="00C47B0A">
        <w:rPr>
          <w:rFonts w:eastAsia="MS Mincho"/>
          <w:sz w:val="24"/>
          <w:szCs w:val="24"/>
          <w:lang w:val="es-EC"/>
        </w:rPr>
        <w:t xml:space="preserve">aplicar las herramientas e información que </w:t>
      </w:r>
      <w:r w:rsidR="00F936A7">
        <w:rPr>
          <w:rFonts w:eastAsia="MS Mincho"/>
          <w:sz w:val="24"/>
          <w:szCs w:val="24"/>
          <w:lang w:val="es-EC"/>
        </w:rPr>
        <w:t xml:space="preserve">es capaz de </w:t>
      </w:r>
      <w:r w:rsidR="00C47B0A">
        <w:rPr>
          <w:rFonts w:eastAsia="MS Mincho"/>
          <w:sz w:val="24"/>
          <w:szCs w:val="24"/>
          <w:lang w:val="es-EC"/>
        </w:rPr>
        <w:t>proporciona</w:t>
      </w:r>
      <w:r w:rsidR="00F936A7">
        <w:rPr>
          <w:rFonts w:eastAsia="MS Mincho"/>
          <w:sz w:val="24"/>
          <w:szCs w:val="24"/>
          <w:lang w:val="es-EC"/>
        </w:rPr>
        <w:t>r</w:t>
      </w:r>
      <w:r w:rsidR="00C47B0A">
        <w:rPr>
          <w:rFonts w:eastAsia="MS Mincho"/>
          <w:sz w:val="24"/>
          <w:szCs w:val="24"/>
          <w:lang w:val="es-EC"/>
        </w:rPr>
        <w:t xml:space="preserve"> la administración territorial dentro de la gestión de riesgos naturales, con esta finalidad se </w:t>
      </w:r>
      <w:r w:rsidR="00F936A7">
        <w:rPr>
          <w:rFonts w:eastAsia="MS Mincho"/>
          <w:sz w:val="24"/>
          <w:szCs w:val="24"/>
          <w:lang w:val="es-EC"/>
        </w:rPr>
        <w:t>diseñó y adaptó</w:t>
      </w:r>
      <w:r w:rsidR="00C47B0A">
        <w:rPr>
          <w:rFonts w:eastAsia="MS Mincho"/>
          <w:sz w:val="24"/>
          <w:szCs w:val="24"/>
          <w:lang w:val="es-EC"/>
        </w:rPr>
        <w:t xml:space="preserve"> una metodología para la gestión de riesgos desde el ámbito territorial</w:t>
      </w:r>
      <w:r w:rsidR="00C47B0A" w:rsidRPr="00F936A7">
        <w:rPr>
          <w:sz w:val="24"/>
          <w:szCs w:val="24"/>
          <w:lang w:val="es-EC"/>
        </w:rPr>
        <w:t xml:space="preserve">, </w:t>
      </w:r>
      <w:r w:rsidR="00F936A7" w:rsidRPr="00F936A7">
        <w:rPr>
          <w:sz w:val="24"/>
          <w:szCs w:val="24"/>
          <w:lang w:val="es-EC"/>
        </w:rPr>
        <w:t>consecuentemente fue</w:t>
      </w:r>
      <w:r w:rsidR="00C47B0A" w:rsidRPr="00F936A7">
        <w:rPr>
          <w:sz w:val="24"/>
          <w:szCs w:val="24"/>
          <w:lang w:val="es-EC"/>
        </w:rPr>
        <w:t xml:space="preserve"> </w:t>
      </w:r>
      <w:r w:rsidR="00F936A7">
        <w:rPr>
          <w:sz w:val="24"/>
          <w:szCs w:val="24"/>
          <w:lang w:val="es-EC"/>
        </w:rPr>
        <w:t xml:space="preserve">implementada </w:t>
      </w:r>
      <w:r w:rsidR="00C47B0A" w:rsidRPr="00F936A7">
        <w:rPr>
          <w:sz w:val="24"/>
          <w:szCs w:val="24"/>
          <w:lang w:val="es-EC"/>
        </w:rPr>
        <w:t>en parte de las posibles áreas afectadas por un eventual lahar del volcán Cotopaxi en el valle de Los Chillos y</w:t>
      </w:r>
      <w:r w:rsidR="00F936A7">
        <w:rPr>
          <w:sz w:val="24"/>
          <w:szCs w:val="24"/>
          <w:lang w:val="es-EC"/>
        </w:rPr>
        <w:t xml:space="preserve"> posteriormente fue generada</w:t>
      </w:r>
      <w:r w:rsidR="00C47B0A" w:rsidRPr="00F936A7">
        <w:rPr>
          <w:sz w:val="24"/>
          <w:szCs w:val="24"/>
          <w:lang w:val="es-EC"/>
        </w:rPr>
        <w:t xml:space="preserve"> una primera versión del Sistema Catastral de Riesgos (SCR).</w:t>
      </w:r>
      <w:r w:rsidR="00C47B0A" w:rsidRPr="00F936A7">
        <w:rPr>
          <w:rFonts w:eastAsia="MS Mincho"/>
          <w:sz w:val="24"/>
          <w:szCs w:val="24"/>
          <w:lang w:val="es-EC"/>
        </w:rPr>
        <w:t xml:space="preserve"> </w:t>
      </w:r>
      <w:r w:rsidR="00B173FD" w:rsidRPr="00F936A7">
        <w:rPr>
          <w:rFonts w:eastAsia="MS Mincho"/>
          <w:sz w:val="24"/>
          <w:szCs w:val="24"/>
          <w:lang w:val="es-EC"/>
        </w:rPr>
        <w:t>La metodología propuesta</w:t>
      </w:r>
      <w:r w:rsidR="00C47B0A" w:rsidRPr="00F936A7">
        <w:rPr>
          <w:rFonts w:eastAsia="MS Mincho"/>
          <w:sz w:val="24"/>
          <w:szCs w:val="24"/>
          <w:lang w:val="es-EC"/>
        </w:rPr>
        <w:t xml:space="preserve"> toma como base el proceso de gestión del riesgo dado en la AS/NZS </w:t>
      </w:r>
      <w:r w:rsidR="00C47B0A" w:rsidRPr="00F936A7">
        <w:rPr>
          <w:rFonts w:eastAsia="MS Mincho"/>
          <w:sz w:val="24"/>
          <w:szCs w:val="24"/>
          <w:lang w:val="es-EC"/>
        </w:rPr>
        <w:lastRenderedPageBreak/>
        <w:t>ISO</w:t>
      </w:r>
      <w:r w:rsidR="00C47B0A">
        <w:rPr>
          <w:rFonts w:eastAsia="MS Mincho"/>
          <w:sz w:val="24"/>
          <w:szCs w:val="24"/>
          <w:lang w:val="es-EC"/>
        </w:rPr>
        <w:t xml:space="preserve"> 31000:2019 </w:t>
      </w:r>
      <w:r w:rsidR="00B173FD">
        <w:rPr>
          <w:rFonts w:eastAsia="MS Mincho"/>
          <w:sz w:val="24"/>
          <w:szCs w:val="24"/>
          <w:lang w:val="es-EC"/>
        </w:rPr>
        <w:t>desarrollada para Nueva Zelanda</w:t>
      </w:r>
      <w:r w:rsidR="00F936A7">
        <w:rPr>
          <w:rFonts w:eastAsia="MS Mincho"/>
          <w:sz w:val="24"/>
          <w:szCs w:val="24"/>
          <w:lang w:val="es-EC"/>
        </w:rPr>
        <w:t xml:space="preserve"> y Australia</w:t>
      </w:r>
      <w:r w:rsidR="00F936A7" w:rsidRPr="004F0E0D">
        <w:rPr>
          <w:rFonts w:eastAsia="MS Mincho"/>
          <w:sz w:val="24"/>
          <w:szCs w:val="24"/>
          <w:lang w:val="es-EC"/>
        </w:rPr>
        <w:t>;</w:t>
      </w:r>
      <w:r w:rsidR="00B173FD">
        <w:rPr>
          <w:rFonts w:eastAsia="MS Mincho"/>
          <w:sz w:val="24"/>
          <w:szCs w:val="24"/>
          <w:lang w:val="es-EC"/>
        </w:rPr>
        <w:t xml:space="preserve"> la información disponible en los catastros inmobiliarios municipales</w:t>
      </w:r>
      <w:r w:rsidR="00F936A7">
        <w:rPr>
          <w:rFonts w:eastAsia="MS Mincho"/>
          <w:sz w:val="24"/>
          <w:szCs w:val="24"/>
          <w:lang w:val="es-EC"/>
        </w:rPr>
        <w:t>;</w:t>
      </w:r>
      <w:r w:rsidR="00B173FD">
        <w:rPr>
          <w:rFonts w:eastAsia="MS Mincho"/>
          <w:sz w:val="24"/>
          <w:szCs w:val="24"/>
          <w:lang w:val="es-EC"/>
        </w:rPr>
        <w:t xml:space="preserve"> y </w:t>
      </w:r>
      <w:r w:rsidR="00C47B0A" w:rsidRPr="00C47B0A">
        <w:rPr>
          <w:rFonts w:eastAsia="MS Mincho"/>
          <w:sz w:val="24"/>
          <w:szCs w:val="24"/>
          <w:lang w:val="es-EC"/>
        </w:rPr>
        <w:t>un análisis de la realidad local, para proponer una metodología aplicable en el Ecuador</w:t>
      </w:r>
      <w:r w:rsidR="00B173FD">
        <w:rPr>
          <w:rFonts w:eastAsia="MS Mincho"/>
          <w:sz w:val="24"/>
          <w:szCs w:val="24"/>
          <w:lang w:val="es-EC"/>
        </w:rPr>
        <w:t>, la cual</w:t>
      </w:r>
      <w:r w:rsidR="003A58DB">
        <w:rPr>
          <w:rFonts w:eastAsia="MS Mincho"/>
          <w:sz w:val="24"/>
          <w:szCs w:val="24"/>
          <w:lang w:val="es-EC"/>
        </w:rPr>
        <w:t xml:space="preserve"> </w:t>
      </w:r>
      <w:r w:rsidR="00C47B0A" w:rsidRPr="00C47B0A">
        <w:rPr>
          <w:rFonts w:eastAsia="MS Mincho"/>
          <w:sz w:val="24"/>
          <w:szCs w:val="24"/>
          <w:lang w:val="es-EC"/>
        </w:rPr>
        <w:t xml:space="preserve">utiliza los insumos proporcionados por la administración de tierras para identificar, evaluar, valorar y mitigar el riesgo. De su implementación se obtuvo una completa valoración del riesgo </w:t>
      </w:r>
      <w:r w:rsidR="003A58DB">
        <w:rPr>
          <w:rFonts w:eastAsia="MS Mincho"/>
          <w:sz w:val="24"/>
          <w:szCs w:val="24"/>
          <w:lang w:val="es-EC"/>
        </w:rPr>
        <w:t xml:space="preserve">a nivel predial </w:t>
      </w:r>
      <w:r w:rsidR="00C47B0A" w:rsidRPr="00C47B0A">
        <w:rPr>
          <w:rFonts w:eastAsia="MS Mincho"/>
          <w:sz w:val="24"/>
          <w:szCs w:val="24"/>
          <w:lang w:val="es-EC"/>
        </w:rPr>
        <w:t>para el área de estudio repartida entre el Distrito Metropolitano de Quito</w:t>
      </w:r>
      <w:r w:rsidR="00B173FD">
        <w:rPr>
          <w:rFonts w:eastAsia="MS Mincho"/>
          <w:sz w:val="24"/>
          <w:szCs w:val="24"/>
          <w:lang w:val="es-EC"/>
        </w:rPr>
        <w:t xml:space="preserve"> (DMQ)</w:t>
      </w:r>
      <w:r w:rsidR="00C47B0A" w:rsidRPr="00C47B0A">
        <w:rPr>
          <w:rFonts w:eastAsia="MS Mincho"/>
          <w:sz w:val="24"/>
          <w:szCs w:val="24"/>
          <w:lang w:val="es-EC"/>
        </w:rPr>
        <w:t xml:space="preserve"> y el Gobierno Autónomo Descentralizado de Rumiñahui</w:t>
      </w:r>
      <w:r w:rsidR="00B173FD">
        <w:rPr>
          <w:rFonts w:eastAsia="MS Mincho"/>
          <w:sz w:val="24"/>
          <w:szCs w:val="24"/>
          <w:lang w:val="es-EC"/>
        </w:rPr>
        <w:t xml:space="preserve"> (GADMUR)</w:t>
      </w:r>
      <w:r w:rsidR="00C47B0A" w:rsidRPr="00C47B0A">
        <w:rPr>
          <w:rFonts w:eastAsia="MS Mincho"/>
          <w:sz w:val="24"/>
          <w:szCs w:val="24"/>
          <w:lang w:val="es-EC"/>
        </w:rPr>
        <w:t xml:space="preserve">; y una serie de recomendaciones enmarcadas en la planificación territorial para tratar el riesgo. A partir de estos resultados se generó el SCR basado en el modelo LADM (Land Administration Domain Model) descrito en la ISO 19152:2009 y puesto en marcha con ayuda del software STDM. En el modelo LADM se consideran los derechos, restricciones y responsabilidades para cada uno de los interesados (personas u organizaciones) en cada una de las unidades espaciales de acuerdo al nivel territorial; este caso en particular, estuvo </w:t>
      </w:r>
      <w:r w:rsidR="00B173FD">
        <w:rPr>
          <w:rFonts w:eastAsia="MS Mincho"/>
          <w:sz w:val="24"/>
          <w:szCs w:val="24"/>
          <w:lang w:val="es-EC"/>
        </w:rPr>
        <w:t>enfocado hacia el nivel predial.</w:t>
      </w:r>
    </w:p>
    <w:p w:rsidR="00A96552" w:rsidRPr="00DF5227" w:rsidRDefault="00A96552" w:rsidP="00A96552">
      <w:pPr>
        <w:rPr>
          <w:sz w:val="24"/>
          <w:szCs w:val="24"/>
          <w:lang w:val="es-EC"/>
        </w:rPr>
      </w:pPr>
    </w:p>
    <w:p w:rsidR="00A96552" w:rsidRDefault="00A96552" w:rsidP="00A96552">
      <w:pPr>
        <w:pStyle w:val="Els-1storder-head"/>
        <w:spacing w:before="0" w:after="0" w:line="240" w:lineRule="auto"/>
        <w:jc w:val="both"/>
        <w:rPr>
          <w:sz w:val="24"/>
          <w:szCs w:val="24"/>
          <w:lang w:val="es-EC"/>
        </w:rPr>
      </w:pPr>
      <w:r>
        <w:rPr>
          <w:sz w:val="24"/>
          <w:szCs w:val="24"/>
          <w:lang w:val="es-EC"/>
        </w:rPr>
        <w:t>METODOLOGÍA</w:t>
      </w:r>
    </w:p>
    <w:p w:rsidR="00D9564B" w:rsidRPr="00D9564B" w:rsidRDefault="00D9564B" w:rsidP="00D9564B">
      <w:pPr>
        <w:pStyle w:val="Els-1storder-head"/>
        <w:spacing w:before="0" w:after="0" w:line="240" w:lineRule="auto"/>
        <w:jc w:val="both"/>
        <w:rPr>
          <w:b w:val="0"/>
          <w:sz w:val="24"/>
          <w:szCs w:val="24"/>
          <w:lang w:val="es-EC"/>
        </w:rPr>
      </w:pPr>
      <w:r>
        <w:rPr>
          <w:b w:val="0"/>
          <w:sz w:val="24"/>
          <w:szCs w:val="24"/>
          <w:lang w:val="es-EC"/>
        </w:rPr>
        <w:t>DISEÑO DE LA METODOLOGÍA</w:t>
      </w:r>
    </w:p>
    <w:p w:rsidR="00D9564B" w:rsidRDefault="00D9564B" w:rsidP="00DF5227">
      <w:pPr>
        <w:rPr>
          <w:sz w:val="24"/>
          <w:szCs w:val="24"/>
          <w:lang w:val="es-EC"/>
        </w:rPr>
      </w:pPr>
    </w:p>
    <w:p w:rsidR="00D9564B" w:rsidRDefault="00387B37" w:rsidP="005252CC">
      <w:pPr>
        <w:pStyle w:val="Textoindependiente"/>
        <w:ind w:firstLine="567"/>
        <w:contextualSpacing/>
        <w:jc w:val="both"/>
        <w:rPr>
          <w:rFonts w:eastAsia="MS Mincho"/>
          <w:sz w:val="24"/>
          <w:szCs w:val="24"/>
          <w:lang w:val="es-EC"/>
        </w:rPr>
      </w:pPr>
      <w:r>
        <w:rPr>
          <w:rFonts w:eastAsia="MS Mincho"/>
          <w:sz w:val="24"/>
          <w:szCs w:val="24"/>
          <w:lang w:val="es-EC"/>
        </w:rPr>
        <w:t>Como punto de partida se realizó</w:t>
      </w:r>
      <w:r w:rsidR="00813EF1" w:rsidRPr="00813EF1">
        <w:rPr>
          <w:rFonts w:eastAsia="MS Mincho"/>
          <w:sz w:val="24"/>
          <w:szCs w:val="24"/>
          <w:lang w:val="es-EC"/>
        </w:rPr>
        <w:t xml:space="preserve"> el análisis del sistema de administración territorial y del manejo actual de los catastros inmobiliarios del GAD Municipal de Rumiñahui, el GAD Metropolitano de Quito y la norma técnica para catastro inmobiliario dada por el MIDUVI (Ministerio de Desarrollo Urbano y Vivienda), así como el análisis acerca del manejo de la gestió</w:t>
      </w:r>
      <w:r>
        <w:rPr>
          <w:rFonts w:eastAsia="MS Mincho"/>
          <w:sz w:val="24"/>
          <w:szCs w:val="24"/>
          <w:lang w:val="es-EC"/>
        </w:rPr>
        <w:t>n de riesgos, donde en base a lo</w:t>
      </w:r>
      <w:r w:rsidR="00813EF1" w:rsidRPr="00813EF1">
        <w:rPr>
          <w:rFonts w:eastAsia="MS Mincho"/>
          <w:sz w:val="24"/>
          <w:szCs w:val="24"/>
          <w:lang w:val="es-EC"/>
        </w:rPr>
        <w:t xml:space="preserve">s </w:t>
      </w:r>
      <w:r>
        <w:rPr>
          <w:rFonts w:eastAsia="MS Mincho"/>
          <w:sz w:val="24"/>
          <w:szCs w:val="24"/>
          <w:lang w:val="es-EC"/>
        </w:rPr>
        <w:t xml:space="preserve">parámetros considerados en las </w:t>
      </w:r>
      <w:r w:rsidR="00813EF1" w:rsidRPr="00813EF1">
        <w:rPr>
          <w:rFonts w:eastAsia="MS Mincho"/>
          <w:sz w:val="24"/>
          <w:szCs w:val="24"/>
          <w:lang w:val="es-EC"/>
        </w:rPr>
        <w:t xml:space="preserve">metodologías “Land Risk Management Model” y “Risk-Based Planning Aproach” se evaluó </w:t>
      </w:r>
      <w:r>
        <w:rPr>
          <w:rFonts w:eastAsia="MS Mincho"/>
          <w:sz w:val="24"/>
          <w:szCs w:val="24"/>
          <w:lang w:val="es-EC"/>
        </w:rPr>
        <w:t xml:space="preserve">cual es </w:t>
      </w:r>
      <w:r w:rsidR="00813EF1" w:rsidRPr="00813EF1">
        <w:rPr>
          <w:rFonts w:eastAsia="MS Mincho"/>
          <w:sz w:val="24"/>
          <w:szCs w:val="24"/>
          <w:lang w:val="es-EC"/>
        </w:rPr>
        <w:t xml:space="preserve">la información territorial </w:t>
      </w:r>
      <w:r>
        <w:rPr>
          <w:rFonts w:eastAsia="MS Mincho"/>
          <w:sz w:val="24"/>
          <w:szCs w:val="24"/>
          <w:lang w:val="es-EC"/>
        </w:rPr>
        <w:t>de utilidad</w:t>
      </w:r>
      <w:r w:rsidR="00813EF1" w:rsidRPr="00813EF1">
        <w:rPr>
          <w:rFonts w:eastAsia="MS Mincho"/>
          <w:sz w:val="24"/>
          <w:szCs w:val="24"/>
          <w:lang w:val="es-EC"/>
        </w:rPr>
        <w:t xml:space="preserve"> para la gestión de riesgos y si esta información se encontraba disponible en los catastros inmobiliarios municipales. Para el diseño de la metodología se tomó como base el esquema dado en el proceso de gestión de riesgos de la AS/NZS ISO 31000:2009, además, de una adaptación a la realidad local</w:t>
      </w:r>
      <w:r>
        <w:rPr>
          <w:rFonts w:eastAsia="MS Mincho"/>
          <w:sz w:val="24"/>
          <w:szCs w:val="24"/>
          <w:lang w:val="es-EC"/>
        </w:rPr>
        <w:t>,</w:t>
      </w:r>
      <w:r w:rsidR="00813EF1" w:rsidRPr="00813EF1">
        <w:rPr>
          <w:rFonts w:eastAsia="MS Mincho"/>
          <w:sz w:val="24"/>
          <w:szCs w:val="24"/>
          <w:lang w:val="es-EC"/>
        </w:rPr>
        <w:t xml:space="preserve"> de las similitudes que tenían entre sí las dos metodologías tomadas como referencia.</w:t>
      </w:r>
      <w:r w:rsidR="00813EF1">
        <w:rPr>
          <w:rFonts w:eastAsia="MS Mincho"/>
          <w:sz w:val="24"/>
          <w:szCs w:val="24"/>
          <w:lang w:val="es-EC"/>
        </w:rPr>
        <w:t xml:space="preserve"> </w:t>
      </w:r>
      <w:r>
        <w:rPr>
          <w:rFonts w:eastAsia="MS Mincho"/>
          <w:sz w:val="24"/>
          <w:szCs w:val="24"/>
          <w:lang w:val="es-EC"/>
        </w:rPr>
        <w:t>En la Figura 1</w:t>
      </w:r>
      <w:r w:rsidR="00D9564B" w:rsidRPr="00C25260">
        <w:rPr>
          <w:rFonts w:eastAsia="MS Mincho"/>
          <w:sz w:val="24"/>
          <w:szCs w:val="24"/>
          <w:lang w:val="es-EC"/>
        </w:rPr>
        <w:t xml:space="preserve"> se observa más detalladamente el proceso seguido, a través del cual se interrelaciono los conceptos de administración terr</w:t>
      </w:r>
      <w:r w:rsidR="005252CC">
        <w:rPr>
          <w:rFonts w:eastAsia="MS Mincho"/>
          <w:sz w:val="24"/>
          <w:szCs w:val="24"/>
          <w:lang w:val="es-EC"/>
        </w:rPr>
        <w:t>itorial y de gestión de riesgos</w:t>
      </w:r>
      <w:r w:rsidR="005252CC" w:rsidRPr="004F0E0D">
        <w:rPr>
          <w:rFonts w:eastAsia="MS Mincho"/>
          <w:sz w:val="24"/>
          <w:szCs w:val="24"/>
          <w:lang w:val="es-EC"/>
        </w:rPr>
        <w:t>;</w:t>
      </w:r>
      <w:r w:rsidR="005252CC">
        <w:rPr>
          <w:rFonts w:eastAsia="MS Mincho"/>
          <w:sz w:val="24"/>
          <w:szCs w:val="24"/>
          <w:lang w:val="es-EC"/>
        </w:rPr>
        <w:t xml:space="preserve"> u</w:t>
      </w:r>
      <w:r w:rsidR="00D9564B" w:rsidRPr="00C25260">
        <w:rPr>
          <w:rFonts w:eastAsia="MS Mincho"/>
          <w:sz w:val="24"/>
          <w:szCs w:val="24"/>
          <w:lang w:val="es-EC"/>
        </w:rPr>
        <w:t xml:space="preserve">na vez diseñada la metodología se procedió a implementarla </w:t>
      </w:r>
      <w:r>
        <w:rPr>
          <w:rFonts w:eastAsia="MS Mincho"/>
          <w:sz w:val="24"/>
          <w:szCs w:val="24"/>
          <w:lang w:val="es-EC"/>
        </w:rPr>
        <w:t>en la zona de estudio y a partir de los resultados obtenidos</w:t>
      </w:r>
      <w:r w:rsidR="00D9564B" w:rsidRPr="00C25260">
        <w:rPr>
          <w:rFonts w:eastAsia="MS Mincho"/>
          <w:sz w:val="24"/>
          <w:szCs w:val="24"/>
          <w:lang w:val="es-EC"/>
        </w:rPr>
        <w:t xml:space="preserve"> se</w:t>
      </w:r>
      <w:r w:rsidR="005252CC">
        <w:rPr>
          <w:rFonts w:eastAsia="MS Mincho"/>
          <w:sz w:val="24"/>
          <w:szCs w:val="24"/>
          <w:lang w:val="es-EC"/>
        </w:rPr>
        <w:t xml:space="preserve"> generó el SCR </w:t>
      </w:r>
      <w:r>
        <w:rPr>
          <w:rFonts w:eastAsia="MS Mincho"/>
          <w:sz w:val="24"/>
          <w:szCs w:val="24"/>
          <w:lang w:val="es-EC"/>
        </w:rPr>
        <w:t>con ayuda del software STDM al definirse</w:t>
      </w:r>
      <w:r w:rsidR="00D9564B" w:rsidRPr="00C25260">
        <w:rPr>
          <w:rFonts w:eastAsia="MS Mincho"/>
          <w:sz w:val="24"/>
          <w:szCs w:val="24"/>
          <w:lang w:val="es-EC"/>
        </w:rPr>
        <w:t xml:space="preserve"> derechos, restricciones y responsabilida</w:t>
      </w:r>
      <w:r w:rsidR="005252CC">
        <w:rPr>
          <w:rFonts w:eastAsia="MS Mincho"/>
          <w:sz w:val="24"/>
          <w:szCs w:val="24"/>
          <w:lang w:val="es-EC"/>
        </w:rPr>
        <w:t>des</w:t>
      </w:r>
      <w:r>
        <w:rPr>
          <w:rFonts w:eastAsia="MS Mincho"/>
          <w:sz w:val="24"/>
          <w:szCs w:val="24"/>
          <w:lang w:val="es-EC"/>
        </w:rPr>
        <w:t xml:space="preserve"> que están involucrados en la gestión de riesgos, acorde al modelo LADM de la ISO 19152:2009.</w:t>
      </w:r>
    </w:p>
    <w:p w:rsidR="00D9564B" w:rsidRPr="00D9564B" w:rsidRDefault="00C25260" w:rsidP="00C25260">
      <w:pPr>
        <w:jc w:val="center"/>
        <w:rPr>
          <w:sz w:val="24"/>
          <w:szCs w:val="24"/>
          <w:lang w:val="es-EC"/>
        </w:rPr>
      </w:pPr>
      <w:r>
        <w:rPr>
          <w:noProof/>
          <w:lang w:val="es-EC" w:eastAsia="es-EC"/>
        </w:rPr>
        <w:drawing>
          <wp:inline distT="0" distB="0" distL="0" distR="0" wp14:anchorId="015C964E" wp14:editId="57FEE721">
            <wp:extent cx="3324225" cy="2352675"/>
            <wp:effectExtent l="0" t="0" r="9525" b="9525"/>
            <wp:docPr id="64" name="Imagen 19"/>
            <wp:cNvGraphicFramePr/>
            <a:graphic xmlns:a="http://schemas.openxmlformats.org/drawingml/2006/main">
              <a:graphicData uri="http://schemas.openxmlformats.org/drawingml/2006/picture">
                <pic:pic xmlns:pic="http://schemas.openxmlformats.org/drawingml/2006/picture">
                  <pic:nvPicPr>
                    <pic:cNvPr id="64" name="Imagen 19"/>
                    <pic:cNvPicPr/>
                  </pic:nvPicPr>
                  <pic:blipFill rotWithShape="1">
                    <a:blip r:embed="rId10"/>
                    <a:srcRect t="-1" b="-1223"/>
                    <a:stretch/>
                  </pic:blipFill>
                  <pic:spPr bwMode="auto">
                    <a:xfrm>
                      <a:off x="0" y="0"/>
                      <a:ext cx="3324225" cy="2352675"/>
                    </a:xfrm>
                    <a:prstGeom prst="rect">
                      <a:avLst/>
                    </a:prstGeom>
                    <a:ln>
                      <a:noFill/>
                    </a:ln>
                    <a:extLst>
                      <a:ext uri="{53640926-AAD7-44D8-BBD7-CCE9431645EC}">
                        <a14:shadowObscured xmlns:a14="http://schemas.microsoft.com/office/drawing/2010/main"/>
                      </a:ext>
                    </a:extLst>
                  </pic:spPr>
                </pic:pic>
              </a:graphicData>
            </a:graphic>
          </wp:inline>
        </w:drawing>
      </w:r>
    </w:p>
    <w:p w:rsidR="00D9564B" w:rsidRDefault="00387B37" w:rsidP="005252CC">
      <w:pPr>
        <w:jc w:val="center"/>
        <w:rPr>
          <w:sz w:val="22"/>
          <w:szCs w:val="22"/>
          <w:lang w:val="es-EC"/>
        </w:rPr>
      </w:pPr>
      <w:r>
        <w:rPr>
          <w:sz w:val="22"/>
          <w:szCs w:val="22"/>
          <w:lang w:val="es-EC"/>
        </w:rPr>
        <w:t>Figura 1</w:t>
      </w:r>
      <w:r w:rsidR="00D9564B" w:rsidRPr="005252CC">
        <w:rPr>
          <w:sz w:val="22"/>
          <w:szCs w:val="22"/>
          <w:lang w:val="es-EC"/>
        </w:rPr>
        <w:t>. Proceso seguido en el diseño de la metodología</w:t>
      </w:r>
    </w:p>
    <w:p w:rsidR="005D73F8" w:rsidRDefault="005D73F8" w:rsidP="005D73F8">
      <w:pPr>
        <w:pStyle w:val="Textoindependiente"/>
        <w:ind w:firstLine="567"/>
        <w:contextualSpacing/>
        <w:jc w:val="both"/>
        <w:rPr>
          <w:rFonts w:eastAsia="MS Mincho"/>
          <w:sz w:val="24"/>
          <w:szCs w:val="24"/>
          <w:lang w:val="es-EC"/>
        </w:rPr>
      </w:pPr>
      <w:r w:rsidRPr="00813EF1">
        <w:rPr>
          <w:rFonts w:eastAsia="MS Mincho"/>
          <w:sz w:val="24"/>
          <w:szCs w:val="24"/>
          <w:lang w:val="es-EC"/>
        </w:rPr>
        <w:lastRenderedPageBreak/>
        <w:t xml:space="preserve">La metodología propuesta, como muestra el modelo </w:t>
      </w:r>
      <w:r w:rsidR="00387B37">
        <w:rPr>
          <w:rFonts w:eastAsia="MS Mincho"/>
          <w:sz w:val="24"/>
          <w:szCs w:val="24"/>
          <w:lang w:val="es-EC"/>
        </w:rPr>
        <w:t>conceptual de la Figura 2</w:t>
      </w:r>
      <w:r w:rsidRPr="00813EF1">
        <w:rPr>
          <w:rFonts w:eastAsia="MS Mincho"/>
          <w:sz w:val="24"/>
          <w:szCs w:val="24"/>
          <w:lang w:val="es-EC"/>
        </w:rPr>
        <w:t xml:space="preserve">, está constituida por tres elementos principales que son el contexto, el proceso de gestión del riesgo en el territorio y la planificación, además, de forma transversal a estos tres elementos se tiene dos sub elementos que son la </w:t>
      </w:r>
      <w:r w:rsidR="00A37446">
        <w:rPr>
          <w:rFonts w:eastAsia="MS Mincho"/>
          <w:sz w:val="24"/>
          <w:szCs w:val="24"/>
          <w:lang w:val="es-EC"/>
        </w:rPr>
        <w:t>comunicación y consulta;</w:t>
      </w:r>
      <w:r w:rsidRPr="00813EF1">
        <w:rPr>
          <w:rFonts w:eastAsia="MS Mincho"/>
          <w:sz w:val="24"/>
          <w:szCs w:val="24"/>
          <w:lang w:val="es-EC"/>
        </w:rPr>
        <w:t xml:space="preserve"> y el monitoreo y evaluación.</w:t>
      </w:r>
    </w:p>
    <w:p w:rsidR="005D73F8" w:rsidRPr="00813EF1" w:rsidRDefault="005D73F8" w:rsidP="005D73F8">
      <w:pPr>
        <w:pStyle w:val="Textoindependiente"/>
        <w:ind w:firstLine="567"/>
        <w:contextualSpacing/>
        <w:jc w:val="both"/>
        <w:rPr>
          <w:rFonts w:eastAsia="MS Mincho"/>
          <w:sz w:val="24"/>
          <w:szCs w:val="24"/>
          <w:lang w:val="es-EC"/>
        </w:rPr>
      </w:pPr>
      <w:r w:rsidRPr="00813EF1">
        <w:rPr>
          <w:rFonts w:eastAsia="MS Mincho"/>
          <w:sz w:val="24"/>
          <w:szCs w:val="24"/>
          <w:lang w:val="es-EC"/>
        </w:rPr>
        <w:t xml:space="preserve">El primer elemento permite contextualizar el escenario en el que se va a trabajar, mediante la identificación del lugar territorial, los factores de riesgo y los interesados en la gestión de riesgos en </w:t>
      </w:r>
      <w:r w:rsidR="00A37446">
        <w:rPr>
          <w:rFonts w:eastAsia="MS Mincho"/>
          <w:sz w:val="24"/>
          <w:szCs w:val="24"/>
          <w:lang w:val="es-EC"/>
        </w:rPr>
        <w:t>el territorio; e</w:t>
      </w:r>
      <w:r w:rsidRPr="00813EF1">
        <w:rPr>
          <w:rFonts w:eastAsia="MS Mincho"/>
          <w:sz w:val="24"/>
          <w:szCs w:val="24"/>
          <w:lang w:val="es-EC"/>
        </w:rPr>
        <w:t>l segundo elemento establece el intercambio de información necesaria entre los sistemas de administración territorial y el proceso de gestión del riesgo del cual se obtendrá una evaluación del riesgo en relación al territorio</w:t>
      </w:r>
      <w:r w:rsidR="00A37446">
        <w:rPr>
          <w:rFonts w:eastAsia="MS Mincho"/>
          <w:sz w:val="24"/>
          <w:szCs w:val="24"/>
          <w:lang w:val="es-EC"/>
        </w:rPr>
        <w:t>; mientras</w:t>
      </w:r>
      <w:r w:rsidRPr="00813EF1">
        <w:rPr>
          <w:rFonts w:eastAsia="MS Mincho"/>
          <w:sz w:val="24"/>
          <w:szCs w:val="24"/>
          <w:lang w:val="es-EC"/>
        </w:rPr>
        <w:t xml:space="preserve"> </w:t>
      </w:r>
      <w:r w:rsidR="00A37446">
        <w:rPr>
          <w:rFonts w:eastAsia="MS Mincho"/>
          <w:sz w:val="24"/>
          <w:szCs w:val="24"/>
          <w:lang w:val="es-EC"/>
        </w:rPr>
        <w:t>e</w:t>
      </w:r>
      <w:r w:rsidRPr="00813EF1">
        <w:rPr>
          <w:rFonts w:eastAsia="MS Mincho"/>
          <w:sz w:val="24"/>
          <w:szCs w:val="24"/>
          <w:lang w:val="es-EC"/>
        </w:rPr>
        <w:t>l último elemento permite a los usuarios, a partir de la evaluación realizada, tomar las acciones necesarias dentro de la planificación territorial para reducir el riesgo. Los dos sub elementos transversales a todo el proceso: comunicación y consulta, y monitoreo y ev</w:t>
      </w:r>
      <w:r w:rsidR="00A37446">
        <w:rPr>
          <w:rFonts w:eastAsia="MS Mincho"/>
          <w:sz w:val="24"/>
          <w:szCs w:val="24"/>
          <w:lang w:val="es-EC"/>
        </w:rPr>
        <w:t>aluación, asegura el</w:t>
      </w:r>
      <w:r w:rsidRPr="00813EF1">
        <w:rPr>
          <w:rFonts w:eastAsia="MS Mincho"/>
          <w:sz w:val="24"/>
          <w:szCs w:val="24"/>
          <w:lang w:val="es-EC"/>
        </w:rPr>
        <w:t xml:space="preserve"> óptimo desarrollo</w:t>
      </w:r>
      <w:r w:rsidR="00A37446">
        <w:rPr>
          <w:rFonts w:eastAsia="MS Mincho"/>
          <w:sz w:val="24"/>
          <w:szCs w:val="24"/>
          <w:lang w:val="es-EC"/>
        </w:rPr>
        <w:t xml:space="preserve"> e implementación de la metodología</w:t>
      </w:r>
      <w:r w:rsidRPr="00813EF1">
        <w:rPr>
          <w:rFonts w:eastAsia="MS Mincho"/>
          <w:sz w:val="24"/>
          <w:szCs w:val="24"/>
          <w:lang w:val="es-EC"/>
        </w:rPr>
        <w:t>.</w:t>
      </w:r>
    </w:p>
    <w:p w:rsidR="00D0652A" w:rsidRDefault="00D0652A" w:rsidP="005D73F8">
      <w:pPr>
        <w:pStyle w:val="Textoindependiente2"/>
        <w:tabs>
          <w:tab w:val="left" w:pos="567"/>
        </w:tabs>
        <w:spacing w:after="0" w:line="240" w:lineRule="auto"/>
        <w:rPr>
          <w:noProof/>
          <w:lang w:val="es-EC" w:eastAsia="es-EC"/>
        </w:rPr>
      </w:pPr>
    </w:p>
    <w:p w:rsidR="005D73F8" w:rsidRDefault="005D73F8" w:rsidP="005D73F8">
      <w:pPr>
        <w:pStyle w:val="Textoindependiente2"/>
        <w:tabs>
          <w:tab w:val="left" w:pos="567"/>
        </w:tabs>
        <w:spacing w:after="0" w:line="240" w:lineRule="auto"/>
        <w:rPr>
          <w:sz w:val="24"/>
          <w:szCs w:val="24"/>
          <w:lang w:val="es-EC"/>
        </w:rPr>
      </w:pPr>
      <w:r>
        <w:rPr>
          <w:noProof/>
          <w:lang w:val="es-EC" w:eastAsia="es-EC"/>
        </w:rPr>
        <w:drawing>
          <wp:inline distT="0" distB="0" distL="0" distR="0" wp14:anchorId="68F5D10D" wp14:editId="3961D2E3">
            <wp:extent cx="5486400" cy="2990850"/>
            <wp:effectExtent l="0" t="0" r="0" b="0"/>
            <wp:docPr id="14" name="Imagen 13"/>
            <wp:cNvGraphicFramePr/>
            <a:graphic xmlns:a="http://schemas.openxmlformats.org/drawingml/2006/main">
              <a:graphicData uri="http://schemas.openxmlformats.org/drawingml/2006/picture">
                <pic:pic xmlns:pic="http://schemas.openxmlformats.org/drawingml/2006/picture">
                  <pic:nvPicPr>
                    <pic:cNvPr id="14" name="Imagen 13"/>
                    <pic:cNvPicPr/>
                  </pic:nvPicPr>
                  <pic:blipFill>
                    <a:blip r:embed="rId11"/>
                    <a:stretch>
                      <a:fillRect/>
                    </a:stretch>
                  </pic:blipFill>
                  <pic:spPr>
                    <a:xfrm>
                      <a:off x="0" y="0"/>
                      <a:ext cx="5486400" cy="2990850"/>
                    </a:xfrm>
                    <a:prstGeom prst="rect">
                      <a:avLst/>
                    </a:prstGeom>
                  </pic:spPr>
                </pic:pic>
              </a:graphicData>
            </a:graphic>
          </wp:inline>
        </w:drawing>
      </w:r>
    </w:p>
    <w:p w:rsidR="005D73F8" w:rsidRPr="00A37446" w:rsidRDefault="00A37446" w:rsidP="005D73F8">
      <w:pPr>
        <w:pStyle w:val="figuras"/>
        <w:spacing w:before="0" w:after="0"/>
        <w:jc w:val="center"/>
        <w:rPr>
          <w:b w:val="0"/>
          <w:i w:val="0"/>
          <w:sz w:val="22"/>
          <w:szCs w:val="22"/>
          <w:lang w:val="es-EC" w:eastAsia="en-US"/>
        </w:rPr>
      </w:pPr>
      <w:bookmarkStart w:id="1" w:name="_Toc8000774"/>
      <w:r w:rsidRPr="00A37446">
        <w:rPr>
          <w:b w:val="0"/>
          <w:i w:val="0"/>
          <w:sz w:val="22"/>
          <w:szCs w:val="22"/>
          <w:lang w:val="es-EC" w:eastAsia="en-US"/>
        </w:rPr>
        <w:t>Figura 2</w:t>
      </w:r>
      <w:r w:rsidR="005D73F8" w:rsidRPr="00A37446">
        <w:rPr>
          <w:b w:val="0"/>
          <w:i w:val="0"/>
          <w:sz w:val="22"/>
          <w:szCs w:val="22"/>
          <w:lang w:val="es-EC" w:eastAsia="en-US"/>
        </w:rPr>
        <w:t>. Modelo conceptual, metodología para la gestión de riesgos en el territorio</w:t>
      </w:r>
      <w:bookmarkEnd w:id="1"/>
    </w:p>
    <w:p w:rsidR="005D73F8" w:rsidRPr="00A37446" w:rsidRDefault="005D73F8" w:rsidP="005D73F8">
      <w:pPr>
        <w:jc w:val="center"/>
        <w:rPr>
          <w:sz w:val="22"/>
          <w:szCs w:val="22"/>
          <w:lang w:val="es-EC"/>
        </w:rPr>
      </w:pPr>
      <w:r w:rsidRPr="00A37446">
        <w:rPr>
          <w:sz w:val="22"/>
          <w:szCs w:val="22"/>
          <w:lang w:val="es-EC"/>
        </w:rPr>
        <w:t xml:space="preserve">Fuente: Adaptado de </w:t>
      </w:r>
      <w:sdt>
        <w:sdtPr>
          <w:rPr>
            <w:sz w:val="22"/>
            <w:szCs w:val="22"/>
          </w:rPr>
          <w:id w:val="-1960486779"/>
          <w:citation/>
        </w:sdtPr>
        <w:sdtEndPr/>
        <w:sdtContent>
          <w:r w:rsidRPr="00A37446">
            <w:rPr>
              <w:sz w:val="22"/>
              <w:szCs w:val="22"/>
            </w:rPr>
            <w:fldChar w:fldCharType="begin"/>
          </w:r>
          <w:r w:rsidR="0000378C">
            <w:rPr>
              <w:sz w:val="22"/>
              <w:szCs w:val="22"/>
              <w:lang w:val="es-EC"/>
            </w:rPr>
            <w:instrText xml:space="preserve">CITATION Usi13 \l 12298 </w:instrText>
          </w:r>
          <w:r w:rsidRPr="00A37446">
            <w:rPr>
              <w:sz w:val="22"/>
              <w:szCs w:val="22"/>
            </w:rPr>
            <w:fldChar w:fldCharType="separate"/>
          </w:r>
          <w:r w:rsidR="007E60DF" w:rsidRPr="007E60DF">
            <w:rPr>
              <w:noProof/>
              <w:sz w:val="22"/>
              <w:szCs w:val="22"/>
              <w:lang w:val="es-EC"/>
            </w:rPr>
            <w:t>(Potts, 2013)</w:t>
          </w:r>
          <w:r w:rsidRPr="00A37446">
            <w:rPr>
              <w:sz w:val="22"/>
              <w:szCs w:val="22"/>
            </w:rPr>
            <w:fldChar w:fldCharType="end"/>
          </w:r>
        </w:sdtContent>
      </w:sdt>
    </w:p>
    <w:p w:rsidR="005D73F8" w:rsidRDefault="005D73F8" w:rsidP="005252CC">
      <w:pPr>
        <w:jc w:val="center"/>
        <w:rPr>
          <w:sz w:val="22"/>
          <w:szCs w:val="22"/>
          <w:lang w:val="es-EC"/>
        </w:rPr>
      </w:pPr>
    </w:p>
    <w:p w:rsidR="00D0652A" w:rsidRPr="005252CC" w:rsidRDefault="00D0652A" w:rsidP="005252CC">
      <w:pPr>
        <w:jc w:val="center"/>
        <w:rPr>
          <w:sz w:val="22"/>
          <w:szCs w:val="22"/>
          <w:lang w:val="es-EC"/>
        </w:rPr>
      </w:pPr>
    </w:p>
    <w:p w:rsidR="00A37446" w:rsidRPr="00A37446" w:rsidRDefault="00A37446" w:rsidP="00A37446">
      <w:pPr>
        <w:pStyle w:val="Textoindependiente"/>
        <w:ind w:firstLine="567"/>
        <w:contextualSpacing/>
        <w:jc w:val="both"/>
        <w:rPr>
          <w:rFonts w:eastAsia="MS Mincho"/>
          <w:sz w:val="24"/>
          <w:szCs w:val="24"/>
          <w:lang w:val="es-EC"/>
        </w:rPr>
      </w:pPr>
      <w:r w:rsidRPr="00A37446">
        <w:rPr>
          <w:rFonts w:eastAsia="MS Mincho"/>
          <w:sz w:val="24"/>
          <w:szCs w:val="24"/>
          <w:lang w:val="es-EC"/>
        </w:rPr>
        <w:t>El proceso de gestión del riesgo intenta seguir lo planteado por</w:t>
      </w:r>
      <w:r w:rsidR="0000378C">
        <w:rPr>
          <w:rFonts w:eastAsia="MS Mincho"/>
          <w:sz w:val="24"/>
          <w:szCs w:val="24"/>
          <w:lang w:val="es-EC"/>
        </w:rPr>
        <w:t xml:space="preserve"> </w:t>
      </w:r>
      <w:r w:rsidR="0000378C">
        <w:rPr>
          <w:rFonts w:eastAsia="MS Mincho"/>
          <w:noProof/>
          <w:sz w:val="24"/>
          <w:szCs w:val="24"/>
          <w:lang w:val="es-EC"/>
        </w:rPr>
        <w:t>Saunders, et al. (</w:t>
      </w:r>
      <w:r w:rsidR="0000378C" w:rsidRPr="0000378C">
        <w:rPr>
          <w:rFonts w:eastAsia="MS Mincho"/>
          <w:noProof/>
          <w:sz w:val="24"/>
          <w:szCs w:val="24"/>
          <w:lang w:val="es-EC"/>
        </w:rPr>
        <w:t>2013)</w:t>
      </w:r>
      <w:r w:rsidRPr="00A37446">
        <w:rPr>
          <w:rFonts w:eastAsia="MS Mincho"/>
          <w:sz w:val="24"/>
          <w:szCs w:val="24"/>
          <w:lang w:val="es-EC"/>
        </w:rPr>
        <w:t xml:space="preserve"> en ‘Risk-based land use planning for natural hazard risk reduction’, lo cual a su vez está alineado con los pasos para la valoración de riesgos que se consideran dentro del proceso de gestión de riesgos en la AS/NZS ISO 31000:2009. Como muestra </w:t>
      </w:r>
      <w:r>
        <w:rPr>
          <w:rFonts w:eastAsia="MS Mincho"/>
          <w:sz w:val="24"/>
          <w:szCs w:val="24"/>
          <w:lang w:val="es-EC"/>
        </w:rPr>
        <w:t xml:space="preserve">la Figura 3, se </w:t>
      </w:r>
      <w:r w:rsidRPr="00A37446">
        <w:rPr>
          <w:rFonts w:eastAsia="MS Mincho"/>
          <w:sz w:val="24"/>
          <w:szCs w:val="24"/>
          <w:lang w:val="es-EC"/>
        </w:rPr>
        <w:t>han considerad</w:t>
      </w:r>
      <w:r w:rsidR="0049522A">
        <w:rPr>
          <w:rFonts w:eastAsia="MS Mincho"/>
          <w:sz w:val="24"/>
          <w:szCs w:val="24"/>
          <w:lang w:val="es-EC"/>
        </w:rPr>
        <w:t xml:space="preserve">o tres pasos fundamentales, los cuales </w:t>
      </w:r>
      <w:r w:rsidRPr="00A37446">
        <w:rPr>
          <w:rFonts w:eastAsia="MS Mincho"/>
          <w:sz w:val="24"/>
          <w:szCs w:val="24"/>
          <w:lang w:val="es-EC"/>
        </w:rPr>
        <w:t>corresponden</w:t>
      </w:r>
      <w:r w:rsidR="0049522A">
        <w:rPr>
          <w:rFonts w:eastAsia="MS Mincho"/>
          <w:sz w:val="24"/>
          <w:szCs w:val="24"/>
          <w:lang w:val="es-EC"/>
        </w:rPr>
        <w:t xml:space="preserve"> a la identificación del riesgo, donde son determinadas las limitaciones, incertidumbres y asunciones; el análisis del riesgo, </w:t>
      </w:r>
      <w:r w:rsidRPr="00A37446">
        <w:rPr>
          <w:rFonts w:eastAsia="MS Mincho"/>
          <w:sz w:val="24"/>
          <w:szCs w:val="24"/>
          <w:lang w:val="es-EC"/>
        </w:rPr>
        <w:t>en función de una valoración de las posibles consecuencias y la probabilidad de ocurrencia del e</w:t>
      </w:r>
      <w:r w:rsidR="0049522A">
        <w:rPr>
          <w:rFonts w:eastAsia="MS Mincho"/>
          <w:sz w:val="24"/>
          <w:szCs w:val="24"/>
          <w:lang w:val="es-EC"/>
        </w:rPr>
        <w:t>vento mediante el uso de una tabla multiriesgos y una escala de probabilidad de ocurrencia correspondientemente; como tercer paso está</w:t>
      </w:r>
      <w:r w:rsidRPr="00A37446">
        <w:rPr>
          <w:rFonts w:eastAsia="MS Mincho"/>
          <w:sz w:val="24"/>
          <w:szCs w:val="24"/>
          <w:lang w:val="es-EC"/>
        </w:rPr>
        <w:t xml:space="preserve"> la evaluación del riesgo desde el ámbito territorial</w:t>
      </w:r>
      <w:r w:rsidR="0049522A">
        <w:rPr>
          <w:rFonts w:eastAsia="MS Mincho"/>
          <w:sz w:val="24"/>
          <w:szCs w:val="24"/>
          <w:lang w:val="es-EC"/>
        </w:rPr>
        <w:t>, donde se determinan el nivel de riesgo y su correspondiente estado de consentimiento</w:t>
      </w:r>
      <w:r w:rsidRPr="00A37446">
        <w:rPr>
          <w:rFonts w:eastAsia="MS Mincho"/>
          <w:sz w:val="24"/>
          <w:szCs w:val="24"/>
          <w:lang w:val="es-EC"/>
        </w:rPr>
        <w:t xml:space="preserve">. </w:t>
      </w:r>
    </w:p>
    <w:p w:rsidR="00A37446" w:rsidRPr="00EF4BA0" w:rsidRDefault="00A37446" w:rsidP="00A37446">
      <w:pPr>
        <w:jc w:val="center"/>
        <w:rPr>
          <w:lang w:val="es-ES" w:eastAsia="es-EC"/>
        </w:rPr>
      </w:pPr>
      <w:r w:rsidRPr="00EF4BA0">
        <w:rPr>
          <w:noProof/>
          <w:lang w:val="es-EC" w:eastAsia="es-EC"/>
        </w:rPr>
        <w:lastRenderedPageBreak/>
        <w:drawing>
          <wp:inline distT="0" distB="0" distL="0" distR="0" wp14:anchorId="154330CD" wp14:editId="4DB3D5F4">
            <wp:extent cx="3167212" cy="2057400"/>
            <wp:effectExtent l="0" t="0" r="0" b="0"/>
            <wp:docPr id="11"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pic:cNvPicPr>
                      <a:picLocks noChangeAspect="1"/>
                    </pic:cNvPicPr>
                  </pic:nvPicPr>
                  <pic:blipFill>
                    <a:blip r:embed="rId12"/>
                    <a:stretch>
                      <a:fillRect/>
                    </a:stretch>
                  </pic:blipFill>
                  <pic:spPr>
                    <a:xfrm>
                      <a:off x="0" y="0"/>
                      <a:ext cx="3229368" cy="2097776"/>
                    </a:xfrm>
                    <a:prstGeom prst="rect">
                      <a:avLst/>
                    </a:prstGeom>
                  </pic:spPr>
                </pic:pic>
              </a:graphicData>
            </a:graphic>
          </wp:inline>
        </w:drawing>
      </w:r>
    </w:p>
    <w:p w:rsidR="00A37446" w:rsidRPr="0049522A" w:rsidRDefault="0049522A" w:rsidP="00A37446">
      <w:pPr>
        <w:pStyle w:val="figuras"/>
        <w:spacing w:before="0" w:after="0"/>
        <w:jc w:val="center"/>
        <w:rPr>
          <w:b w:val="0"/>
          <w:i w:val="0"/>
          <w:sz w:val="22"/>
          <w:szCs w:val="22"/>
          <w:lang w:val="es-EC" w:eastAsia="en-US"/>
        </w:rPr>
      </w:pPr>
      <w:bookmarkStart w:id="2" w:name="_Toc8000778"/>
      <w:r>
        <w:rPr>
          <w:b w:val="0"/>
          <w:i w:val="0"/>
          <w:sz w:val="22"/>
          <w:szCs w:val="22"/>
          <w:lang w:val="es-EC" w:eastAsia="en-US"/>
        </w:rPr>
        <w:t>Figura 3</w:t>
      </w:r>
      <w:r w:rsidR="00A37446" w:rsidRPr="0049522A">
        <w:rPr>
          <w:b w:val="0"/>
          <w:i w:val="0"/>
          <w:sz w:val="22"/>
          <w:szCs w:val="22"/>
          <w:lang w:val="es-EC" w:eastAsia="en-US"/>
        </w:rPr>
        <w:t>. Pasos que conforman el proceso de gestión del riesgo</w:t>
      </w:r>
      <w:bookmarkEnd w:id="2"/>
    </w:p>
    <w:p w:rsidR="00A37446" w:rsidRPr="0000378C" w:rsidRDefault="00A37446" w:rsidP="0049522A">
      <w:pPr>
        <w:pStyle w:val="figuras"/>
        <w:spacing w:before="0" w:after="0"/>
        <w:jc w:val="center"/>
        <w:rPr>
          <w:b w:val="0"/>
          <w:i w:val="0"/>
          <w:sz w:val="22"/>
          <w:szCs w:val="22"/>
          <w:lang w:val="es-EC" w:eastAsia="en-US"/>
        </w:rPr>
      </w:pPr>
      <w:r w:rsidRPr="0000378C">
        <w:rPr>
          <w:b w:val="0"/>
          <w:i w:val="0"/>
          <w:sz w:val="22"/>
          <w:szCs w:val="22"/>
          <w:lang w:val="es-EC" w:eastAsia="en-US"/>
        </w:rPr>
        <w:t xml:space="preserve">Fuente: Adaptado de </w:t>
      </w:r>
      <w:sdt>
        <w:sdtPr>
          <w:rPr>
            <w:b w:val="0"/>
            <w:i w:val="0"/>
            <w:sz w:val="22"/>
            <w:szCs w:val="22"/>
            <w:lang w:val="es-EC" w:eastAsia="en-US"/>
          </w:rPr>
          <w:id w:val="-754119311"/>
          <w:citation/>
        </w:sdtPr>
        <w:sdtEndPr/>
        <w:sdtContent>
          <w:r w:rsidRPr="0000378C">
            <w:rPr>
              <w:b w:val="0"/>
              <w:i w:val="0"/>
              <w:sz w:val="22"/>
              <w:szCs w:val="22"/>
              <w:lang w:val="es-EC" w:eastAsia="en-US"/>
            </w:rPr>
            <w:fldChar w:fldCharType="begin"/>
          </w:r>
          <w:r w:rsidR="0000378C" w:rsidRPr="0000378C">
            <w:rPr>
              <w:b w:val="0"/>
              <w:i w:val="0"/>
              <w:sz w:val="22"/>
              <w:szCs w:val="22"/>
              <w:lang w:val="es-EC" w:eastAsia="en-US"/>
            </w:rPr>
            <w:instrText xml:space="preserve">CITATION Sau13 \l 1033 </w:instrText>
          </w:r>
          <w:r w:rsidRPr="0000378C">
            <w:rPr>
              <w:b w:val="0"/>
              <w:i w:val="0"/>
              <w:sz w:val="22"/>
              <w:szCs w:val="22"/>
              <w:lang w:val="es-EC" w:eastAsia="en-US"/>
            </w:rPr>
            <w:fldChar w:fldCharType="separate"/>
          </w:r>
          <w:r w:rsidR="007E60DF" w:rsidRPr="007E60DF">
            <w:rPr>
              <w:noProof/>
              <w:sz w:val="22"/>
              <w:szCs w:val="22"/>
              <w:lang w:val="es-EC" w:eastAsia="en-US"/>
            </w:rPr>
            <w:t>(</w:t>
          </w:r>
          <w:r w:rsidR="007E60DF" w:rsidRPr="00882551">
            <w:rPr>
              <w:b w:val="0"/>
              <w:i w:val="0"/>
              <w:noProof/>
              <w:sz w:val="22"/>
              <w:szCs w:val="22"/>
              <w:lang w:val="es-EC" w:eastAsia="en-US"/>
            </w:rPr>
            <w:t>Saunders, et al., 2013</w:t>
          </w:r>
          <w:r w:rsidR="007E60DF" w:rsidRPr="007E60DF">
            <w:rPr>
              <w:noProof/>
              <w:sz w:val="22"/>
              <w:szCs w:val="22"/>
              <w:lang w:val="es-EC" w:eastAsia="en-US"/>
            </w:rPr>
            <w:t>)</w:t>
          </w:r>
          <w:r w:rsidRPr="0000378C">
            <w:rPr>
              <w:b w:val="0"/>
              <w:i w:val="0"/>
              <w:sz w:val="22"/>
              <w:szCs w:val="22"/>
              <w:lang w:val="es-EC" w:eastAsia="en-US"/>
            </w:rPr>
            <w:fldChar w:fldCharType="end"/>
          </w:r>
        </w:sdtContent>
      </w:sdt>
    </w:p>
    <w:p w:rsidR="00AE1933" w:rsidRPr="00A37446" w:rsidRDefault="00AE1933" w:rsidP="00AE1933">
      <w:pPr>
        <w:pStyle w:val="Els-1storder-head"/>
        <w:spacing w:before="0" w:after="0" w:line="240" w:lineRule="auto"/>
        <w:jc w:val="both"/>
        <w:rPr>
          <w:b w:val="0"/>
          <w:sz w:val="24"/>
          <w:szCs w:val="24"/>
          <w:lang w:val="es-ES"/>
        </w:rPr>
      </w:pPr>
    </w:p>
    <w:p w:rsidR="009037A1" w:rsidRDefault="009037A1" w:rsidP="00AE1933">
      <w:pPr>
        <w:pStyle w:val="Els-1storder-head"/>
        <w:spacing w:before="0" w:after="0" w:line="240" w:lineRule="auto"/>
        <w:jc w:val="both"/>
        <w:rPr>
          <w:b w:val="0"/>
          <w:sz w:val="24"/>
          <w:szCs w:val="24"/>
          <w:lang w:val="es-EC"/>
        </w:rPr>
      </w:pPr>
    </w:p>
    <w:p w:rsidR="00AE1933" w:rsidRPr="00AE1933" w:rsidRDefault="00AE1933" w:rsidP="00AE1933">
      <w:pPr>
        <w:pStyle w:val="Els-1storder-head"/>
        <w:spacing w:before="0" w:after="0" w:line="240" w:lineRule="auto"/>
        <w:jc w:val="both"/>
        <w:rPr>
          <w:b w:val="0"/>
          <w:sz w:val="24"/>
          <w:szCs w:val="24"/>
          <w:lang w:val="es-EC"/>
        </w:rPr>
      </w:pPr>
      <w:r>
        <w:rPr>
          <w:b w:val="0"/>
          <w:sz w:val="24"/>
          <w:szCs w:val="24"/>
          <w:lang w:val="es-EC"/>
        </w:rPr>
        <w:t>IMPLEMENTACION DE LA METODOLOGÍA</w:t>
      </w:r>
    </w:p>
    <w:p w:rsidR="00D9564B" w:rsidRDefault="00D9564B" w:rsidP="00D9564B">
      <w:pPr>
        <w:rPr>
          <w:sz w:val="24"/>
          <w:szCs w:val="24"/>
          <w:lang w:val="es-EC"/>
        </w:rPr>
      </w:pPr>
    </w:p>
    <w:p w:rsidR="00C85FCA" w:rsidRDefault="00C85FCA" w:rsidP="00D9564B">
      <w:pPr>
        <w:rPr>
          <w:rFonts w:eastAsia="MS Mincho"/>
          <w:i/>
          <w:sz w:val="24"/>
          <w:szCs w:val="24"/>
          <w:lang w:val="es-EC"/>
        </w:rPr>
      </w:pPr>
      <w:r>
        <w:rPr>
          <w:rFonts w:eastAsia="MS Mincho"/>
          <w:i/>
          <w:sz w:val="24"/>
          <w:szCs w:val="24"/>
          <w:lang w:val="es-EC"/>
        </w:rPr>
        <w:t>Área de estudio</w:t>
      </w:r>
    </w:p>
    <w:p w:rsidR="00957A79" w:rsidRDefault="00957A79" w:rsidP="00D9564B">
      <w:pPr>
        <w:rPr>
          <w:rFonts w:eastAsia="MS Mincho"/>
          <w:i/>
          <w:sz w:val="24"/>
          <w:szCs w:val="24"/>
          <w:lang w:val="es-EC"/>
        </w:rPr>
      </w:pPr>
    </w:p>
    <w:p w:rsidR="00F21A40" w:rsidRPr="00174EEC" w:rsidRDefault="005252CC" w:rsidP="0000378C">
      <w:pPr>
        <w:pStyle w:val="Textoindependiente"/>
        <w:ind w:firstLine="567"/>
        <w:contextualSpacing/>
        <w:jc w:val="both"/>
        <w:rPr>
          <w:sz w:val="24"/>
          <w:szCs w:val="24"/>
          <w:lang w:val="es-EC"/>
        </w:rPr>
      </w:pPr>
      <w:r w:rsidRPr="005252CC">
        <w:rPr>
          <w:rFonts w:eastAsia="MS Mincho"/>
          <w:sz w:val="24"/>
          <w:szCs w:val="24"/>
          <w:lang w:val="es-EC"/>
        </w:rPr>
        <w:t xml:space="preserve">La implementación de la metodología se llevó a cabo de forma piloto en parte de las probables áreas afectadas en el valle de Los Chillos por los lahares </w:t>
      </w:r>
      <w:r w:rsidR="00F739FC">
        <w:rPr>
          <w:rFonts w:eastAsia="MS Mincho"/>
          <w:sz w:val="24"/>
          <w:szCs w:val="24"/>
          <w:lang w:val="es-EC"/>
        </w:rPr>
        <w:t>producto de</w:t>
      </w:r>
      <w:r w:rsidRPr="005252CC">
        <w:rPr>
          <w:rFonts w:eastAsia="MS Mincho"/>
          <w:sz w:val="24"/>
          <w:szCs w:val="24"/>
          <w:lang w:val="es-EC"/>
        </w:rPr>
        <w:t xml:space="preserve"> una posible actividad eruptiva del volcán Cotopaxi, los cuales son flujos lodosos cargados de partículas sólidas de diferentes tamaños que se desplazan a grandes velocidades por las laderas del volcán </w:t>
      </w:r>
      <w:r w:rsidR="00F739FC">
        <w:rPr>
          <w:rFonts w:eastAsia="MS Mincho"/>
          <w:sz w:val="24"/>
          <w:szCs w:val="24"/>
          <w:lang w:val="es-EC"/>
        </w:rPr>
        <w:t>debido a</w:t>
      </w:r>
      <w:r w:rsidRPr="005252CC">
        <w:rPr>
          <w:rFonts w:eastAsia="MS Mincho"/>
          <w:sz w:val="24"/>
          <w:szCs w:val="24"/>
          <w:lang w:val="es-EC"/>
        </w:rPr>
        <w:t xml:space="preserve"> la fusión de la capa de hielo glacial que recubre la parte superior del cono</w:t>
      </w:r>
      <w:r w:rsidR="00823E05">
        <w:rPr>
          <w:rFonts w:eastAsia="MS Mincho"/>
          <w:sz w:val="24"/>
          <w:szCs w:val="24"/>
          <w:lang w:val="es-EC"/>
        </w:rPr>
        <w:t xml:space="preserve"> que alcanza</w:t>
      </w:r>
      <w:r w:rsidRPr="005252CC">
        <w:rPr>
          <w:rFonts w:eastAsia="MS Mincho"/>
          <w:sz w:val="24"/>
          <w:szCs w:val="24"/>
          <w:lang w:val="es-EC"/>
        </w:rPr>
        <w:t xml:space="preserve"> una altura de 5.897 </w:t>
      </w:r>
      <w:r w:rsidR="00F21A40">
        <w:rPr>
          <w:rFonts w:eastAsia="MS Mincho"/>
          <w:sz w:val="24"/>
          <w:szCs w:val="24"/>
          <w:lang w:val="es-EC"/>
        </w:rPr>
        <w:t>metros sobre el nivel del mar</w:t>
      </w:r>
      <w:r w:rsidRPr="005252CC">
        <w:rPr>
          <w:rFonts w:eastAsia="MS Mincho"/>
          <w:sz w:val="24"/>
          <w:szCs w:val="24"/>
          <w:lang w:val="es-EC"/>
        </w:rPr>
        <w:t xml:space="preserve">, entre las principales </w:t>
      </w:r>
      <w:r w:rsidR="00F21A40">
        <w:rPr>
          <w:rFonts w:eastAsia="MS Mincho"/>
          <w:sz w:val="24"/>
          <w:szCs w:val="24"/>
          <w:lang w:val="es-EC"/>
        </w:rPr>
        <w:t>poblaciones</w:t>
      </w:r>
      <w:r w:rsidRPr="005252CC">
        <w:rPr>
          <w:rFonts w:eastAsia="MS Mincho"/>
          <w:sz w:val="24"/>
          <w:szCs w:val="24"/>
          <w:lang w:val="es-EC"/>
        </w:rPr>
        <w:t xml:space="preserve"> afectadas están la ciudad de Latacunga y el valle de Los Chillos, especí</w:t>
      </w:r>
      <w:r w:rsidR="00F739FC">
        <w:rPr>
          <w:rFonts w:eastAsia="MS Mincho"/>
          <w:sz w:val="24"/>
          <w:szCs w:val="24"/>
          <w:lang w:val="es-EC"/>
        </w:rPr>
        <w:t>ficamente la conurbación DMQ</w:t>
      </w:r>
      <w:r w:rsidRPr="005252CC">
        <w:rPr>
          <w:rFonts w:eastAsia="MS Mincho"/>
          <w:sz w:val="24"/>
          <w:szCs w:val="24"/>
          <w:lang w:val="es-EC"/>
        </w:rPr>
        <w:t xml:space="preserve"> - GADMUR </w:t>
      </w:r>
      <w:sdt>
        <w:sdtPr>
          <w:rPr>
            <w:sz w:val="24"/>
            <w:szCs w:val="24"/>
            <w:lang w:val="en-US"/>
          </w:rPr>
          <w:id w:val="-1520299593"/>
          <w:citation/>
        </w:sdtPr>
        <w:sdtEndPr/>
        <w:sdtContent>
          <w:r w:rsidR="0000378C" w:rsidRPr="0000378C">
            <w:rPr>
              <w:sz w:val="24"/>
              <w:szCs w:val="24"/>
              <w:lang w:val="en-US"/>
            </w:rPr>
            <w:fldChar w:fldCharType="begin"/>
          </w:r>
          <w:r w:rsidR="0000378C" w:rsidRPr="0000378C">
            <w:rPr>
              <w:sz w:val="24"/>
              <w:szCs w:val="24"/>
              <w:lang w:val="es-EC"/>
            </w:rPr>
            <w:instrText xml:space="preserve"> CITATION Agu05 \l 12298 </w:instrText>
          </w:r>
          <w:r w:rsidR="0000378C" w:rsidRPr="0000378C">
            <w:rPr>
              <w:sz w:val="24"/>
              <w:szCs w:val="24"/>
              <w:lang w:val="en-US"/>
            </w:rPr>
            <w:fldChar w:fldCharType="separate"/>
          </w:r>
          <w:r w:rsidR="007E60DF" w:rsidRPr="007E60DF">
            <w:rPr>
              <w:noProof/>
              <w:sz w:val="24"/>
              <w:szCs w:val="24"/>
              <w:lang w:val="es-EC"/>
            </w:rPr>
            <w:t>(Aguilera &amp; Toulkeridis, 2005)</w:t>
          </w:r>
          <w:r w:rsidR="0000378C" w:rsidRPr="0000378C">
            <w:rPr>
              <w:sz w:val="24"/>
              <w:szCs w:val="24"/>
              <w:lang w:val="en-US"/>
            </w:rPr>
            <w:fldChar w:fldCharType="end"/>
          </w:r>
        </w:sdtContent>
      </w:sdt>
      <w:r w:rsidR="0000378C" w:rsidRPr="0000378C">
        <w:rPr>
          <w:sz w:val="24"/>
          <w:szCs w:val="24"/>
          <w:lang w:val="es-EC"/>
        </w:rPr>
        <w:t xml:space="preserve">. </w:t>
      </w:r>
      <w:r w:rsidRPr="005252CC">
        <w:rPr>
          <w:rFonts w:eastAsia="MS Mincho"/>
          <w:sz w:val="24"/>
          <w:szCs w:val="24"/>
          <w:lang w:val="es-EC"/>
        </w:rPr>
        <w:t xml:space="preserve">Los drenajes naturales que nacen en la cima del volcán sirven de camino para el desplazamiento de los lahares; </w:t>
      </w:r>
      <w:r w:rsidR="00823E05">
        <w:rPr>
          <w:rFonts w:eastAsia="MS Mincho"/>
          <w:sz w:val="24"/>
          <w:szCs w:val="24"/>
          <w:lang w:val="es-EC"/>
        </w:rPr>
        <w:t>así la afectación</w:t>
      </w:r>
      <w:r w:rsidRPr="005252CC">
        <w:rPr>
          <w:rFonts w:eastAsia="MS Mincho"/>
          <w:sz w:val="24"/>
          <w:szCs w:val="24"/>
          <w:lang w:val="es-EC"/>
        </w:rPr>
        <w:t xml:space="preserve"> se extiende por las cuencas hidrográficas de los ríos Esmeraldas al norte, Pastaza al sur y Napo al este. En el caso del valle de Los Chillos, el área se ve afectada por los lahares transportados a través de los ríos Pita y Santa Clara que confluyen en el río San Pedro, y forman parte de la cuenca hidrográfica del río Esmeraldas. Uno de los </w:t>
      </w:r>
      <w:r w:rsidR="00957A79">
        <w:rPr>
          <w:rFonts w:eastAsia="MS Mincho"/>
          <w:sz w:val="24"/>
          <w:szCs w:val="24"/>
          <w:lang w:val="es-EC"/>
        </w:rPr>
        <w:t>modelamientos</w:t>
      </w:r>
      <w:r w:rsidRPr="005252CC">
        <w:rPr>
          <w:rFonts w:eastAsia="MS Mincho"/>
          <w:sz w:val="24"/>
          <w:szCs w:val="24"/>
          <w:lang w:val="es-EC"/>
        </w:rPr>
        <w:t xml:space="preserve"> más recientes de los lahares que pueden afectar al valle de Los Chillo</w:t>
      </w:r>
      <w:r w:rsidR="00F739FC">
        <w:rPr>
          <w:rFonts w:eastAsia="MS Mincho"/>
          <w:sz w:val="24"/>
          <w:szCs w:val="24"/>
          <w:lang w:val="es-EC"/>
        </w:rPr>
        <w:t>s fue realizado en el año 2018 siguiendo</w:t>
      </w:r>
      <w:r w:rsidRPr="005252CC">
        <w:rPr>
          <w:rFonts w:eastAsia="MS Mincho"/>
          <w:sz w:val="24"/>
          <w:szCs w:val="24"/>
          <w:lang w:val="es-EC"/>
        </w:rPr>
        <w:t xml:space="preserve"> la cuenca del río Pita, en el cual se determinó las áreas de inundación por el derretimiento de los glaciares, al ser uno de los </w:t>
      </w:r>
      <w:r w:rsidR="00823E05">
        <w:rPr>
          <w:rFonts w:eastAsia="MS Mincho"/>
          <w:sz w:val="24"/>
          <w:szCs w:val="24"/>
          <w:lang w:val="es-EC"/>
        </w:rPr>
        <w:t>datos más actuales se tomó esta</w:t>
      </w:r>
      <w:r w:rsidRPr="005252CC">
        <w:rPr>
          <w:rFonts w:eastAsia="MS Mincho"/>
          <w:sz w:val="24"/>
          <w:szCs w:val="24"/>
          <w:lang w:val="es-EC"/>
        </w:rPr>
        <w:t xml:space="preserve"> como área de es</w:t>
      </w:r>
      <w:r w:rsidR="0049522A">
        <w:rPr>
          <w:rFonts w:eastAsia="MS Mincho"/>
          <w:sz w:val="24"/>
          <w:szCs w:val="24"/>
          <w:lang w:val="es-EC"/>
        </w:rPr>
        <w:t>tudio, en el mapa de la Figura 5</w:t>
      </w:r>
      <w:r w:rsidRPr="005252CC">
        <w:rPr>
          <w:rFonts w:eastAsia="MS Mincho"/>
          <w:sz w:val="24"/>
          <w:szCs w:val="24"/>
          <w:lang w:val="es-EC"/>
        </w:rPr>
        <w:t xml:space="preserve"> se muestran los límites del área que abarca 373,36 ha y está distribuida entre el GADMUR y el DMQ</w:t>
      </w:r>
      <w:r w:rsidR="001D42A3">
        <w:rPr>
          <w:rFonts w:eastAsia="MS Mincho"/>
          <w:sz w:val="24"/>
          <w:szCs w:val="24"/>
          <w:lang w:val="es-EC"/>
        </w:rPr>
        <w:t xml:space="preserve"> que en</w:t>
      </w:r>
      <w:r w:rsidR="00F21A40" w:rsidRPr="004F0E0D">
        <w:rPr>
          <w:rFonts w:eastAsia="MS Mincho"/>
          <w:sz w:val="24"/>
          <w:szCs w:val="24"/>
          <w:lang w:val="es-EC"/>
        </w:rPr>
        <w:t xml:space="preserve"> conjunto a los actores privados y ciudadanos vinculados al área afectada</w:t>
      </w:r>
      <w:r w:rsidR="001D42A3">
        <w:rPr>
          <w:rFonts w:eastAsia="MS Mincho"/>
          <w:sz w:val="24"/>
          <w:szCs w:val="24"/>
          <w:lang w:val="es-EC"/>
        </w:rPr>
        <w:t xml:space="preserve"> son los principales afectados,</w:t>
      </w:r>
      <w:r w:rsidR="00F21A40" w:rsidRPr="004F0E0D">
        <w:rPr>
          <w:rFonts w:eastAsia="MS Mincho"/>
          <w:sz w:val="24"/>
          <w:szCs w:val="24"/>
          <w:lang w:val="es-EC"/>
        </w:rPr>
        <w:t xml:space="preserve"> la principal vulnerabilidad </w:t>
      </w:r>
      <w:r w:rsidR="001D42A3">
        <w:rPr>
          <w:rFonts w:eastAsia="MS Mincho"/>
          <w:sz w:val="24"/>
          <w:szCs w:val="24"/>
          <w:lang w:val="es-EC"/>
        </w:rPr>
        <w:t>está relacionada con el</w:t>
      </w:r>
      <w:r w:rsidR="00F21A40" w:rsidRPr="004F0E0D">
        <w:rPr>
          <w:rFonts w:eastAsia="MS Mincho"/>
          <w:sz w:val="24"/>
          <w:szCs w:val="24"/>
          <w:lang w:val="es-EC"/>
        </w:rPr>
        <w:t xml:space="preserve"> crecimiento poblacional </w:t>
      </w:r>
      <w:r w:rsidR="001D42A3">
        <w:rPr>
          <w:rFonts w:eastAsia="MS Mincho"/>
          <w:sz w:val="24"/>
          <w:szCs w:val="24"/>
          <w:lang w:val="es-EC"/>
        </w:rPr>
        <w:t>sin una adecuada</w:t>
      </w:r>
      <w:r w:rsidR="00F21A40" w:rsidRPr="004F0E0D">
        <w:rPr>
          <w:rFonts w:eastAsia="MS Mincho"/>
          <w:sz w:val="24"/>
          <w:szCs w:val="24"/>
          <w:lang w:val="es-EC"/>
        </w:rPr>
        <w:t xml:space="preserve"> planificación territorial</w:t>
      </w:r>
      <w:r w:rsidR="001D42A3">
        <w:rPr>
          <w:rFonts w:eastAsia="MS Mincho"/>
          <w:sz w:val="24"/>
          <w:szCs w:val="24"/>
          <w:lang w:val="es-EC"/>
        </w:rPr>
        <w:t xml:space="preserve"> que ha experimentado la zona</w:t>
      </w:r>
      <w:r w:rsidR="00F21A40" w:rsidRPr="004F0E0D">
        <w:rPr>
          <w:rFonts w:eastAsia="MS Mincho"/>
          <w:sz w:val="24"/>
          <w:szCs w:val="24"/>
          <w:lang w:val="es-EC"/>
        </w:rPr>
        <w:t>.</w:t>
      </w:r>
    </w:p>
    <w:p w:rsidR="00B37DB0" w:rsidRDefault="00B37DB0" w:rsidP="00B37DB0">
      <w:pPr>
        <w:pStyle w:val="Textoindependiente"/>
        <w:ind w:firstLine="567"/>
        <w:contextualSpacing/>
        <w:jc w:val="both"/>
        <w:rPr>
          <w:rFonts w:eastAsia="MS Mincho"/>
          <w:sz w:val="24"/>
          <w:szCs w:val="24"/>
          <w:lang w:val="es-EC"/>
        </w:rPr>
      </w:pPr>
    </w:p>
    <w:p w:rsidR="00B37DB0" w:rsidRDefault="00B37DB0" w:rsidP="00B37DB0">
      <w:pPr>
        <w:pStyle w:val="Textoindependiente"/>
        <w:ind w:firstLine="567"/>
        <w:contextualSpacing/>
        <w:jc w:val="center"/>
        <w:rPr>
          <w:rFonts w:eastAsia="MS Mincho"/>
          <w:sz w:val="24"/>
          <w:szCs w:val="24"/>
          <w:lang w:val="es-EC"/>
        </w:rPr>
      </w:pPr>
      <w:r>
        <w:rPr>
          <w:noProof/>
          <w:lang w:val="es-EC" w:eastAsia="es-EC"/>
        </w:rPr>
        <w:lastRenderedPageBreak/>
        <w:drawing>
          <wp:inline distT="0" distB="0" distL="0" distR="0" wp14:anchorId="470D7BDF" wp14:editId="6B55ED68">
            <wp:extent cx="3933825" cy="3895725"/>
            <wp:effectExtent l="0" t="0" r="9525" b="9525"/>
            <wp:docPr id="41" name="Imagen 41"/>
            <wp:cNvGraphicFramePr/>
            <a:graphic xmlns:a="http://schemas.openxmlformats.org/drawingml/2006/main">
              <a:graphicData uri="http://schemas.openxmlformats.org/drawingml/2006/picture">
                <pic:pic xmlns:pic="http://schemas.openxmlformats.org/drawingml/2006/picture">
                  <pic:nvPicPr>
                    <pic:cNvPr id="41" name="Imagen 41"/>
                    <pic:cNvPicPr/>
                  </pic:nvPicPr>
                  <pic:blipFill rotWithShape="1">
                    <a:blip r:embed="rId13"/>
                    <a:srcRect b="513"/>
                    <a:stretch/>
                  </pic:blipFill>
                  <pic:spPr bwMode="auto">
                    <a:xfrm>
                      <a:off x="0" y="0"/>
                      <a:ext cx="3933825" cy="3895725"/>
                    </a:xfrm>
                    <a:prstGeom prst="rect">
                      <a:avLst/>
                    </a:prstGeom>
                    <a:ln>
                      <a:noFill/>
                    </a:ln>
                    <a:extLst>
                      <a:ext uri="{53640926-AAD7-44D8-BBD7-CCE9431645EC}">
                        <a14:shadowObscured xmlns:a14="http://schemas.microsoft.com/office/drawing/2010/main"/>
                      </a:ext>
                    </a:extLst>
                  </pic:spPr>
                </pic:pic>
              </a:graphicData>
            </a:graphic>
          </wp:inline>
        </w:drawing>
      </w:r>
    </w:p>
    <w:p w:rsidR="00B37DB0" w:rsidRPr="00F21A40" w:rsidRDefault="005252CC" w:rsidP="00F21A40">
      <w:pPr>
        <w:pStyle w:val="Textoindependiente"/>
        <w:ind w:firstLine="567"/>
        <w:contextualSpacing/>
        <w:jc w:val="center"/>
        <w:rPr>
          <w:rFonts w:eastAsia="MS Mincho"/>
          <w:sz w:val="22"/>
          <w:szCs w:val="22"/>
          <w:lang w:val="es-EC"/>
        </w:rPr>
      </w:pPr>
      <w:r w:rsidRPr="00F21A40">
        <w:rPr>
          <w:rFonts w:eastAsia="MS Mincho"/>
          <w:sz w:val="22"/>
          <w:szCs w:val="22"/>
          <w:lang w:val="es-EC"/>
        </w:rPr>
        <w:t xml:space="preserve">Figura </w:t>
      </w:r>
      <w:r w:rsidR="0049522A">
        <w:rPr>
          <w:rFonts w:eastAsia="MS Mincho"/>
          <w:sz w:val="22"/>
          <w:szCs w:val="22"/>
          <w:lang w:val="es-EC"/>
        </w:rPr>
        <w:t>5</w:t>
      </w:r>
      <w:r w:rsidRPr="00F21A40">
        <w:rPr>
          <w:rFonts w:eastAsia="MS Mincho"/>
          <w:sz w:val="22"/>
          <w:szCs w:val="22"/>
          <w:lang w:val="es-EC"/>
        </w:rPr>
        <w:t>. Área de estudio, localizada entre los cantones Quito y Rumiñahui</w:t>
      </w:r>
    </w:p>
    <w:p w:rsidR="00B37DB0" w:rsidRDefault="00B37DB0" w:rsidP="00B37DB0">
      <w:pPr>
        <w:pStyle w:val="Textoindependiente"/>
        <w:ind w:firstLine="567"/>
        <w:contextualSpacing/>
        <w:jc w:val="both"/>
        <w:rPr>
          <w:rFonts w:eastAsia="MS Mincho"/>
          <w:sz w:val="24"/>
          <w:szCs w:val="24"/>
          <w:lang w:val="es-EC"/>
        </w:rPr>
      </w:pPr>
    </w:p>
    <w:p w:rsidR="00C85FCA" w:rsidRPr="004F0E0D" w:rsidRDefault="001D42A3" w:rsidP="00D9564B">
      <w:pPr>
        <w:rPr>
          <w:rFonts w:eastAsia="MS Mincho"/>
          <w:i/>
          <w:sz w:val="24"/>
          <w:szCs w:val="24"/>
          <w:lang w:val="es-EC"/>
        </w:rPr>
      </w:pPr>
      <w:r>
        <w:rPr>
          <w:rFonts w:eastAsia="MS Mincho"/>
          <w:i/>
          <w:sz w:val="24"/>
          <w:szCs w:val="24"/>
          <w:lang w:val="es-EC"/>
        </w:rPr>
        <w:t>Identificación del riesgo</w:t>
      </w:r>
    </w:p>
    <w:p w:rsidR="00C85FCA" w:rsidRPr="004F0E0D" w:rsidRDefault="00C85FCA" w:rsidP="00D9564B">
      <w:pPr>
        <w:rPr>
          <w:rFonts w:eastAsia="MS Mincho"/>
          <w:sz w:val="24"/>
          <w:szCs w:val="24"/>
          <w:lang w:val="es-EC"/>
        </w:rPr>
      </w:pPr>
    </w:p>
    <w:p w:rsidR="00823E05" w:rsidRDefault="001D42A3" w:rsidP="0000378C">
      <w:pPr>
        <w:pStyle w:val="Textoindependiente"/>
        <w:ind w:firstLine="567"/>
        <w:contextualSpacing/>
        <w:jc w:val="both"/>
        <w:rPr>
          <w:rFonts w:eastAsia="MS Mincho"/>
          <w:sz w:val="24"/>
          <w:szCs w:val="24"/>
          <w:lang w:val="es-EC"/>
        </w:rPr>
      </w:pPr>
      <w:r>
        <w:rPr>
          <w:rFonts w:eastAsia="MS Mincho"/>
          <w:sz w:val="24"/>
          <w:szCs w:val="24"/>
          <w:lang w:val="es-EC"/>
        </w:rPr>
        <w:t>El</w:t>
      </w:r>
      <w:r w:rsidR="00823E05" w:rsidRPr="004F0E0D">
        <w:rPr>
          <w:rFonts w:eastAsia="MS Mincho"/>
          <w:sz w:val="24"/>
          <w:szCs w:val="24"/>
          <w:lang w:val="es-EC"/>
        </w:rPr>
        <w:t xml:space="preserve"> ár</w:t>
      </w:r>
      <w:r>
        <w:rPr>
          <w:rFonts w:eastAsia="MS Mincho"/>
          <w:sz w:val="24"/>
          <w:szCs w:val="24"/>
          <w:lang w:val="es-EC"/>
        </w:rPr>
        <w:t xml:space="preserve">ea de impacto directo del lahar </w:t>
      </w:r>
      <w:r w:rsidR="0049522A">
        <w:rPr>
          <w:rFonts w:eastAsia="MS Mincho"/>
          <w:sz w:val="24"/>
          <w:szCs w:val="24"/>
          <w:lang w:val="es-EC"/>
        </w:rPr>
        <w:t xml:space="preserve">dentro de la zona de estudio </w:t>
      </w:r>
      <w:r w:rsidR="00823E05" w:rsidRPr="004F0E0D">
        <w:rPr>
          <w:rFonts w:eastAsia="MS Mincho"/>
          <w:sz w:val="24"/>
          <w:szCs w:val="24"/>
          <w:lang w:val="es-EC"/>
        </w:rPr>
        <w:t xml:space="preserve">abarca 239,52 ha, donde la altura de la columna del lahar va desde los 0,005 m hasta los 17,726 m, adicionalmente se </w:t>
      </w:r>
      <w:r w:rsidR="00823E05" w:rsidRPr="0000378C">
        <w:rPr>
          <w:rFonts w:eastAsia="MS Mincho"/>
          <w:sz w:val="24"/>
          <w:szCs w:val="24"/>
          <w:lang w:val="es-EC"/>
        </w:rPr>
        <w:t xml:space="preserve">consideró una zona de seguridad de 50m alrededor de la zona de impacto, esto sigue el criterio tomado por Padilla </w:t>
      </w:r>
      <w:sdt>
        <w:sdtPr>
          <w:rPr>
            <w:rFonts w:eastAsia="MS Mincho"/>
            <w:sz w:val="24"/>
            <w:szCs w:val="24"/>
            <w:lang w:val="es-EC"/>
          </w:rPr>
          <w:id w:val="1338199201"/>
          <w:citation/>
        </w:sdtPr>
        <w:sdtEndPr/>
        <w:sdtContent>
          <w:r w:rsidR="00823E05" w:rsidRPr="0000378C">
            <w:rPr>
              <w:rFonts w:eastAsia="MS Mincho"/>
              <w:sz w:val="24"/>
              <w:szCs w:val="24"/>
              <w:lang w:val="es-EC"/>
            </w:rPr>
            <w:fldChar w:fldCharType="begin"/>
          </w:r>
          <w:r w:rsidR="0000378C" w:rsidRPr="0000378C">
            <w:rPr>
              <w:rFonts w:eastAsia="MS Mincho"/>
              <w:sz w:val="24"/>
              <w:szCs w:val="24"/>
              <w:lang w:val="es-EC"/>
            </w:rPr>
            <w:instrText xml:space="preserve">CITATION Osw17 \n  \t  \l 12298 </w:instrText>
          </w:r>
          <w:r w:rsidR="00823E05" w:rsidRPr="0000378C">
            <w:rPr>
              <w:rFonts w:eastAsia="MS Mincho"/>
              <w:sz w:val="24"/>
              <w:szCs w:val="24"/>
              <w:lang w:val="es-EC"/>
            </w:rPr>
            <w:fldChar w:fldCharType="separate"/>
          </w:r>
          <w:r w:rsidR="007E60DF" w:rsidRPr="007E60DF">
            <w:rPr>
              <w:rFonts w:eastAsia="MS Mincho"/>
              <w:noProof/>
              <w:sz w:val="24"/>
              <w:szCs w:val="24"/>
              <w:lang w:val="es-EC"/>
            </w:rPr>
            <w:t>(2017)</w:t>
          </w:r>
          <w:r w:rsidR="00823E05" w:rsidRPr="0000378C">
            <w:rPr>
              <w:rFonts w:eastAsia="MS Mincho"/>
              <w:sz w:val="24"/>
              <w:szCs w:val="24"/>
              <w:lang w:val="es-EC"/>
            </w:rPr>
            <w:fldChar w:fldCharType="end"/>
          </w:r>
        </w:sdtContent>
      </w:sdt>
      <w:r w:rsidR="00823E05" w:rsidRPr="0000378C">
        <w:rPr>
          <w:rFonts w:eastAsia="MS Mincho"/>
          <w:sz w:val="24"/>
          <w:szCs w:val="24"/>
          <w:lang w:val="es-EC"/>
        </w:rPr>
        <w:t xml:space="preserve"> en el cálculo de</w:t>
      </w:r>
      <w:r w:rsidR="00823E05" w:rsidRPr="004F0E0D">
        <w:rPr>
          <w:rFonts w:eastAsia="MS Mincho"/>
          <w:sz w:val="24"/>
          <w:szCs w:val="24"/>
          <w:lang w:val="es-EC"/>
        </w:rPr>
        <w:t xml:space="preserve"> tiempos de evacuación ante una eventual erupción del volcán Cotopaxi</w:t>
      </w:r>
      <w:r>
        <w:rPr>
          <w:rFonts w:eastAsia="MS Mincho"/>
          <w:sz w:val="24"/>
          <w:szCs w:val="24"/>
          <w:lang w:val="es-EC"/>
        </w:rPr>
        <w:t xml:space="preserve">. </w:t>
      </w:r>
      <w:r w:rsidR="00823E05" w:rsidRPr="004F0E0D">
        <w:rPr>
          <w:rFonts w:eastAsia="MS Mincho"/>
          <w:sz w:val="24"/>
          <w:szCs w:val="24"/>
          <w:lang w:val="es-EC"/>
        </w:rPr>
        <w:t>El área</w:t>
      </w:r>
      <w:r w:rsidR="00581CCF">
        <w:rPr>
          <w:rFonts w:eastAsia="MS Mincho"/>
          <w:sz w:val="24"/>
          <w:szCs w:val="24"/>
          <w:lang w:val="es-EC"/>
        </w:rPr>
        <w:t xml:space="preserve"> como se ve en el mapa de la Figura 4,</w:t>
      </w:r>
      <w:r w:rsidR="00823E05" w:rsidRPr="004F0E0D">
        <w:rPr>
          <w:rFonts w:eastAsia="MS Mincho"/>
          <w:sz w:val="24"/>
          <w:szCs w:val="24"/>
          <w:lang w:val="es-EC"/>
        </w:rPr>
        <w:t xml:space="preserve"> fue dividida en cuatro zonas de valoración: las zonas 1 y 2 consideran las áreas de impacto del lahar con una columna ≥ 2,50 m de altura, mientras las zonas 3 y 4 corresponden a la suma de las áreas de impacto con una columna &lt; 2,50 m y la franja de seguridad de 50 m, de igual forma se consideró el límite político administrativo entre el DMQ y el GADMUR, así las zonas 4 y 1 se ubican en el DMQ mientras las zonas 3 y 2 en el GADMUR. El valor de 2,50 metros está basado en la altura promedi</w:t>
      </w:r>
      <w:r>
        <w:rPr>
          <w:rFonts w:eastAsia="MS Mincho"/>
          <w:sz w:val="24"/>
          <w:szCs w:val="24"/>
          <w:lang w:val="es-EC"/>
        </w:rPr>
        <w:t xml:space="preserve">o de una planta de construcción; </w:t>
      </w:r>
      <w:r w:rsidR="00823E05" w:rsidRPr="004F0E0D">
        <w:rPr>
          <w:rFonts w:eastAsia="MS Mincho"/>
          <w:sz w:val="24"/>
          <w:szCs w:val="24"/>
          <w:lang w:val="es-EC"/>
        </w:rPr>
        <w:t xml:space="preserve">al existir en su mayoría viviendas de dos plantas en la zona, se consideró </w:t>
      </w:r>
      <w:r>
        <w:rPr>
          <w:rFonts w:eastAsia="MS Mincho"/>
          <w:sz w:val="24"/>
          <w:szCs w:val="24"/>
          <w:lang w:val="es-EC"/>
        </w:rPr>
        <w:t>la viabilidad de</w:t>
      </w:r>
      <w:r w:rsidR="00823E05" w:rsidRPr="004F0E0D">
        <w:rPr>
          <w:rFonts w:eastAsia="MS Mincho"/>
          <w:sz w:val="24"/>
          <w:szCs w:val="24"/>
          <w:lang w:val="es-EC"/>
        </w:rPr>
        <w:t xml:space="preserve"> una evacuación vertical.</w:t>
      </w:r>
    </w:p>
    <w:p w:rsidR="00957A79" w:rsidRPr="004F0E0D" w:rsidRDefault="00957A79" w:rsidP="00823E05">
      <w:pPr>
        <w:pStyle w:val="Textoindependiente"/>
        <w:ind w:firstLine="567"/>
        <w:contextualSpacing/>
        <w:jc w:val="both"/>
        <w:rPr>
          <w:rFonts w:eastAsia="MS Mincho"/>
          <w:sz w:val="24"/>
          <w:szCs w:val="24"/>
          <w:lang w:val="es-EC"/>
        </w:rPr>
      </w:pPr>
    </w:p>
    <w:p w:rsidR="00823E05" w:rsidRPr="004F0E0D" w:rsidRDefault="00823E05" w:rsidP="004F0E0D">
      <w:pPr>
        <w:pStyle w:val="Textoindependiente"/>
        <w:ind w:firstLine="567"/>
        <w:contextualSpacing/>
        <w:jc w:val="center"/>
        <w:rPr>
          <w:rFonts w:eastAsia="MS Mincho"/>
          <w:sz w:val="24"/>
          <w:szCs w:val="24"/>
          <w:lang w:val="es-EC"/>
        </w:rPr>
      </w:pPr>
      <w:r w:rsidRPr="004F0E0D">
        <w:rPr>
          <w:rFonts w:eastAsia="MS Mincho"/>
          <w:noProof/>
          <w:sz w:val="24"/>
          <w:szCs w:val="24"/>
          <w:lang w:val="es-EC" w:eastAsia="es-EC"/>
        </w:rPr>
        <w:lastRenderedPageBreak/>
        <w:drawing>
          <wp:inline distT="0" distB="0" distL="0" distR="0" wp14:anchorId="2C863E17" wp14:editId="3508B160">
            <wp:extent cx="3948430" cy="320040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4"/>
                    <pic:cNvPicPr>
                      <a:picLocks noChangeAspect="1" noChangeArrowheads="1"/>
                    </pic:cNvPicPr>
                  </pic:nvPicPr>
                  <pic:blipFill>
                    <a:blip r:embed="rId14">
                      <a:extLst>
                        <a:ext uri="{28A0092B-C50C-407E-A947-70E740481C1C}">
                          <a14:useLocalDpi xmlns:a14="http://schemas.microsoft.com/office/drawing/2010/main" val="0"/>
                        </a:ext>
                      </a:extLst>
                    </a:blip>
                    <a:srcRect t="-2" b="-1341"/>
                    <a:stretch>
                      <a:fillRect/>
                    </a:stretch>
                  </pic:blipFill>
                  <pic:spPr bwMode="auto">
                    <a:xfrm>
                      <a:off x="0" y="0"/>
                      <a:ext cx="3959160" cy="3209097"/>
                    </a:xfrm>
                    <a:prstGeom prst="rect">
                      <a:avLst/>
                    </a:prstGeom>
                    <a:noFill/>
                    <a:ln>
                      <a:noFill/>
                    </a:ln>
                  </pic:spPr>
                </pic:pic>
              </a:graphicData>
            </a:graphic>
          </wp:inline>
        </w:drawing>
      </w:r>
    </w:p>
    <w:p w:rsidR="00823E05" w:rsidRPr="001D42A3" w:rsidRDefault="00581CCF" w:rsidP="004F0E0D">
      <w:pPr>
        <w:pStyle w:val="Textoindependiente"/>
        <w:ind w:firstLine="567"/>
        <w:contextualSpacing/>
        <w:jc w:val="center"/>
        <w:rPr>
          <w:rFonts w:eastAsia="MS Mincho"/>
          <w:sz w:val="22"/>
          <w:szCs w:val="22"/>
          <w:lang w:val="es-EC"/>
        </w:rPr>
      </w:pPr>
      <w:bookmarkStart w:id="3" w:name="_Toc8000784"/>
      <w:r>
        <w:rPr>
          <w:rFonts w:eastAsia="MS Mincho"/>
          <w:sz w:val="22"/>
          <w:szCs w:val="22"/>
          <w:lang w:val="es-EC"/>
        </w:rPr>
        <w:t>Figura 4</w:t>
      </w:r>
      <w:r w:rsidR="00823E05" w:rsidRPr="001D42A3">
        <w:rPr>
          <w:rFonts w:eastAsia="MS Mincho"/>
          <w:sz w:val="22"/>
          <w:szCs w:val="22"/>
          <w:lang w:val="es-EC"/>
        </w:rPr>
        <w:t>. Lahar, área de impacto y zonificaciones para la valoración de riesgos</w:t>
      </w:r>
      <w:bookmarkEnd w:id="3"/>
    </w:p>
    <w:p w:rsidR="00957A79" w:rsidRDefault="00957A79" w:rsidP="00823E05">
      <w:pPr>
        <w:pStyle w:val="Textoindependiente"/>
        <w:ind w:firstLine="567"/>
        <w:contextualSpacing/>
        <w:jc w:val="both"/>
        <w:rPr>
          <w:rFonts w:eastAsia="MS Mincho"/>
          <w:sz w:val="24"/>
          <w:szCs w:val="24"/>
          <w:lang w:val="es-EC"/>
        </w:rPr>
      </w:pPr>
    </w:p>
    <w:p w:rsidR="00823E05" w:rsidRDefault="00581CCF" w:rsidP="00823E05">
      <w:pPr>
        <w:pStyle w:val="Textoindependiente"/>
        <w:ind w:firstLine="567"/>
        <w:contextualSpacing/>
        <w:jc w:val="both"/>
        <w:rPr>
          <w:rFonts w:eastAsia="MS Mincho"/>
          <w:sz w:val="24"/>
          <w:szCs w:val="24"/>
          <w:lang w:val="es-EC"/>
        </w:rPr>
      </w:pPr>
      <w:r>
        <w:rPr>
          <w:rFonts w:eastAsia="MS Mincho"/>
          <w:sz w:val="24"/>
          <w:szCs w:val="24"/>
          <w:lang w:val="es-EC"/>
        </w:rPr>
        <w:t>Las</w:t>
      </w:r>
      <w:r w:rsidR="00823E05" w:rsidRPr="004F0E0D">
        <w:rPr>
          <w:rFonts w:eastAsia="MS Mincho"/>
          <w:sz w:val="24"/>
          <w:szCs w:val="24"/>
          <w:lang w:val="es-EC"/>
        </w:rPr>
        <w:t xml:space="preserve"> asunciones, limitaciones e incertidumbres en las cuales se basó el proceso de la gestión de riesgos</w:t>
      </w:r>
      <w:r>
        <w:rPr>
          <w:rFonts w:eastAsia="MS Mincho"/>
          <w:sz w:val="24"/>
          <w:szCs w:val="24"/>
          <w:lang w:val="es-EC"/>
        </w:rPr>
        <w:t xml:space="preserve"> en este estudio, son enlistados en la Tabla 1</w:t>
      </w:r>
      <w:r w:rsidR="00823E05" w:rsidRPr="004F0E0D">
        <w:rPr>
          <w:rFonts w:eastAsia="MS Mincho"/>
          <w:sz w:val="24"/>
          <w:szCs w:val="24"/>
          <w:lang w:val="es-EC"/>
        </w:rPr>
        <w:t xml:space="preserve">. </w:t>
      </w:r>
    </w:p>
    <w:p w:rsidR="00581CCF" w:rsidRPr="004F0E0D" w:rsidRDefault="00581CCF" w:rsidP="00823E05">
      <w:pPr>
        <w:pStyle w:val="Textoindependiente"/>
        <w:ind w:firstLine="567"/>
        <w:contextualSpacing/>
        <w:jc w:val="both"/>
        <w:rPr>
          <w:rFonts w:eastAsia="MS Mincho"/>
          <w:sz w:val="24"/>
          <w:szCs w:val="24"/>
          <w:lang w:val="es-EC"/>
        </w:rPr>
      </w:pPr>
    </w:p>
    <w:p w:rsidR="00823E05" w:rsidRPr="00581CCF" w:rsidRDefault="00823E05" w:rsidP="00581CCF">
      <w:pPr>
        <w:pStyle w:val="Textoindependiente"/>
        <w:ind w:firstLine="567"/>
        <w:contextualSpacing/>
        <w:jc w:val="center"/>
        <w:rPr>
          <w:rFonts w:eastAsia="MS Mincho"/>
          <w:sz w:val="22"/>
          <w:szCs w:val="22"/>
          <w:lang w:val="es-EC"/>
        </w:rPr>
      </w:pPr>
      <w:bookmarkStart w:id="4" w:name="_Toc8000824"/>
      <w:r w:rsidRPr="00581CCF">
        <w:rPr>
          <w:rFonts w:eastAsia="MS Mincho"/>
          <w:sz w:val="22"/>
          <w:szCs w:val="22"/>
          <w:lang w:val="es-EC"/>
        </w:rPr>
        <w:t xml:space="preserve">Tabla </w:t>
      </w:r>
      <w:bookmarkStart w:id="5" w:name="_Toc8000825"/>
      <w:bookmarkEnd w:id="4"/>
      <w:r w:rsidR="00581CCF" w:rsidRPr="00581CCF">
        <w:rPr>
          <w:rFonts w:eastAsia="MS Mincho"/>
          <w:sz w:val="22"/>
          <w:szCs w:val="22"/>
          <w:lang w:val="es-EC"/>
        </w:rPr>
        <w:t xml:space="preserve">1. </w:t>
      </w:r>
      <w:r w:rsidRPr="00581CCF">
        <w:rPr>
          <w:rFonts w:eastAsia="MS Mincho"/>
          <w:sz w:val="22"/>
          <w:szCs w:val="22"/>
          <w:lang w:val="es-EC"/>
        </w:rPr>
        <w:t>Asunciones, limitaciones e incertidumbres consideradas en la aplicación del proceso</w:t>
      </w:r>
      <w:bookmarkEnd w:id="5"/>
    </w:p>
    <w:tbl>
      <w:tblPr>
        <w:tblW w:w="8784" w:type="dxa"/>
        <w:tblCellMar>
          <w:left w:w="70" w:type="dxa"/>
          <w:right w:w="70" w:type="dxa"/>
        </w:tblCellMar>
        <w:tblLook w:val="04A0" w:firstRow="1" w:lastRow="0" w:firstColumn="1" w:lastColumn="0" w:noHBand="0" w:noVBand="1"/>
      </w:tblPr>
      <w:tblGrid>
        <w:gridCol w:w="1472"/>
        <w:gridCol w:w="7366"/>
      </w:tblGrid>
      <w:tr w:rsidR="00823E05" w:rsidRPr="00770A98" w:rsidTr="00581CCF">
        <w:trPr>
          <w:trHeight w:val="300"/>
        </w:trPr>
        <w:tc>
          <w:tcPr>
            <w:tcW w:w="1418" w:type="dxa"/>
            <w:tcBorders>
              <w:top w:val="single" w:sz="4" w:space="0" w:color="auto"/>
              <w:left w:val="nil"/>
              <w:bottom w:val="single" w:sz="4" w:space="0" w:color="auto"/>
              <w:right w:val="single" w:sz="4" w:space="0" w:color="auto"/>
            </w:tcBorders>
            <w:noWrap/>
            <w:vAlign w:val="center"/>
            <w:hideMark/>
          </w:tcPr>
          <w:p w:rsidR="00823E05" w:rsidRPr="00882551" w:rsidRDefault="00823E05">
            <w:pPr>
              <w:jc w:val="both"/>
              <w:rPr>
                <w:sz w:val="22"/>
                <w:szCs w:val="22"/>
                <w:lang w:val="es-EC"/>
              </w:rPr>
            </w:pPr>
            <w:r w:rsidRPr="00882551">
              <w:rPr>
                <w:sz w:val="22"/>
                <w:szCs w:val="22"/>
                <w:lang w:val="es-EC"/>
              </w:rPr>
              <w:t>Asunciones</w:t>
            </w:r>
          </w:p>
        </w:tc>
        <w:tc>
          <w:tcPr>
            <w:tcW w:w="7366" w:type="dxa"/>
            <w:tcBorders>
              <w:top w:val="single" w:sz="8" w:space="0" w:color="auto"/>
              <w:left w:val="nil"/>
              <w:bottom w:val="single" w:sz="4" w:space="0" w:color="auto"/>
              <w:right w:val="nil"/>
            </w:tcBorders>
            <w:noWrap/>
            <w:vAlign w:val="center"/>
            <w:hideMark/>
          </w:tcPr>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Se asume una erupción similar a la de 1877, en la cual se produjo el deshielo del glacial del volcán Cotopaxi.</w:t>
            </w:r>
          </w:p>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Se considera únicamente la población fija, no la población móvil.</w:t>
            </w:r>
          </w:p>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Las viviendas de más de dos plantas son lo suficientemente resistentes al paso del lahar.</w:t>
            </w:r>
          </w:p>
        </w:tc>
      </w:tr>
      <w:tr w:rsidR="00823E05" w:rsidRPr="00770A98" w:rsidTr="00823E05">
        <w:trPr>
          <w:trHeight w:val="300"/>
        </w:trPr>
        <w:tc>
          <w:tcPr>
            <w:tcW w:w="1418" w:type="dxa"/>
            <w:tcBorders>
              <w:top w:val="nil"/>
              <w:left w:val="nil"/>
              <w:bottom w:val="single" w:sz="4" w:space="0" w:color="auto"/>
              <w:right w:val="single" w:sz="4" w:space="0" w:color="auto"/>
            </w:tcBorders>
            <w:noWrap/>
            <w:vAlign w:val="center"/>
            <w:hideMark/>
          </w:tcPr>
          <w:p w:rsidR="00823E05" w:rsidRPr="00882551" w:rsidRDefault="00823E05">
            <w:pPr>
              <w:jc w:val="both"/>
              <w:rPr>
                <w:sz w:val="22"/>
                <w:szCs w:val="22"/>
                <w:lang w:val="es-EC"/>
              </w:rPr>
            </w:pPr>
            <w:r w:rsidRPr="00882551">
              <w:rPr>
                <w:sz w:val="22"/>
                <w:szCs w:val="22"/>
                <w:lang w:val="es-EC"/>
              </w:rPr>
              <w:t>Limitaciones</w:t>
            </w:r>
          </w:p>
        </w:tc>
        <w:tc>
          <w:tcPr>
            <w:tcW w:w="7366" w:type="dxa"/>
            <w:tcBorders>
              <w:top w:val="nil"/>
              <w:left w:val="nil"/>
              <w:bottom w:val="single" w:sz="4" w:space="0" w:color="auto"/>
              <w:right w:val="nil"/>
            </w:tcBorders>
            <w:noWrap/>
            <w:vAlign w:val="center"/>
            <w:hideMark/>
          </w:tcPr>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No se cuenta con información actualizada del lahar que llegaría por la cuenca del rio Santa Clara, colindante con el área de estudio.</w:t>
            </w:r>
          </w:p>
        </w:tc>
      </w:tr>
      <w:tr w:rsidR="00823E05" w:rsidRPr="00770A98" w:rsidTr="00581CCF">
        <w:trPr>
          <w:trHeight w:val="300"/>
        </w:trPr>
        <w:tc>
          <w:tcPr>
            <w:tcW w:w="1418" w:type="dxa"/>
            <w:tcBorders>
              <w:top w:val="nil"/>
              <w:left w:val="nil"/>
              <w:bottom w:val="single" w:sz="8" w:space="0" w:color="auto"/>
              <w:right w:val="single" w:sz="4" w:space="0" w:color="auto"/>
            </w:tcBorders>
            <w:noWrap/>
            <w:vAlign w:val="center"/>
            <w:hideMark/>
          </w:tcPr>
          <w:p w:rsidR="00823E05" w:rsidRPr="00882551" w:rsidRDefault="00823E05">
            <w:pPr>
              <w:jc w:val="both"/>
              <w:rPr>
                <w:sz w:val="22"/>
                <w:szCs w:val="22"/>
                <w:lang w:val="es-EC"/>
              </w:rPr>
            </w:pPr>
            <w:r w:rsidRPr="00882551">
              <w:rPr>
                <w:sz w:val="22"/>
                <w:szCs w:val="22"/>
                <w:lang w:val="es-EC"/>
              </w:rPr>
              <w:t>Incertidumbres</w:t>
            </w:r>
          </w:p>
        </w:tc>
        <w:tc>
          <w:tcPr>
            <w:tcW w:w="7366" w:type="dxa"/>
            <w:tcBorders>
              <w:top w:val="single" w:sz="4" w:space="0" w:color="auto"/>
              <w:left w:val="nil"/>
              <w:bottom w:val="single" w:sz="8" w:space="0" w:color="auto"/>
              <w:right w:val="nil"/>
            </w:tcBorders>
            <w:noWrap/>
            <w:vAlign w:val="center"/>
            <w:hideMark/>
          </w:tcPr>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Complicaciones que podrían ocasionar otras amenazas volcánicas como la caída de ceniza.</w:t>
            </w:r>
          </w:p>
          <w:p w:rsidR="00823E05" w:rsidRPr="00882551" w:rsidRDefault="00823E05" w:rsidP="00AA25DF">
            <w:pPr>
              <w:pStyle w:val="Prrafodelista"/>
              <w:widowControl/>
              <w:numPr>
                <w:ilvl w:val="0"/>
                <w:numId w:val="7"/>
              </w:numPr>
              <w:jc w:val="both"/>
              <w:rPr>
                <w:sz w:val="22"/>
                <w:szCs w:val="22"/>
                <w:lang w:val="es-EC"/>
              </w:rPr>
            </w:pPr>
            <w:r w:rsidRPr="00882551">
              <w:rPr>
                <w:sz w:val="22"/>
                <w:szCs w:val="22"/>
                <w:lang w:val="es-EC"/>
              </w:rPr>
              <w:t>Efectos que ocasionarían condiciones climáticas extremas como lluvias torrenciales que pudieran ocurrir a la par de la erupción.</w:t>
            </w:r>
          </w:p>
        </w:tc>
      </w:tr>
    </w:tbl>
    <w:p w:rsidR="00F4535E" w:rsidRPr="004F0E0D" w:rsidRDefault="00F4535E" w:rsidP="00F4535E">
      <w:pPr>
        <w:rPr>
          <w:rFonts w:eastAsia="MS Mincho"/>
          <w:i/>
          <w:sz w:val="24"/>
          <w:szCs w:val="24"/>
          <w:lang w:val="es-EC"/>
        </w:rPr>
      </w:pPr>
      <w:r>
        <w:rPr>
          <w:rFonts w:eastAsia="MS Mincho"/>
          <w:i/>
          <w:sz w:val="24"/>
          <w:szCs w:val="24"/>
          <w:lang w:val="es-EC"/>
        </w:rPr>
        <w:t>Determinación de consecuencias</w:t>
      </w:r>
    </w:p>
    <w:p w:rsidR="00F4535E" w:rsidRDefault="00F4535E" w:rsidP="004F0E0D">
      <w:pPr>
        <w:pStyle w:val="Textoindependiente"/>
        <w:ind w:firstLine="567"/>
        <w:contextualSpacing/>
        <w:jc w:val="both"/>
        <w:rPr>
          <w:rFonts w:eastAsia="MS Mincho"/>
          <w:sz w:val="24"/>
          <w:szCs w:val="24"/>
          <w:lang w:val="es-EC"/>
        </w:rPr>
      </w:pPr>
    </w:p>
    <w:p w:rsidR="004F0E0D" w:rsidRPr="004F0E0D" w:rsidRDefault="004F0E0D" w:rsidP="004F0E0D">
      <w:pPr>
        <w:pStyle w:val="Textoindependiente"/>
        <w:ind w:firstLine="567"/>
        <w:contextualSpacing/>
        <w:jc w:val="both"/>
        <w:rPr>
          <w:rFonts w:eastAsia="MS Mincho"/>
          <w:sz w:val="24"/>
          <w:szCs w:val="24"/>
          <w:lang w:val="es-EC"/>
        </w:rPr>
      </w:pPr>
      <w:r w:rsidRPr="004F0E0D">
        <w:rPr>
          <w:rFonts w:eastAsia="MS Mincho"/>
          <w:sz w:val="24"/>
          <w:szCs w:val="24"/>
          <w:lang w:val="es-EC"/>
        </w:rPr>
        <w:t xml:space="preserve">La determinación de las consecuencias se realizó en función de los parámetros: infraestructura - edificaciones, económico y de salud y seguridad, establecidos dentro de la tabla multi-riesgos. El parámetro de infraestructura abarcó la evaluación de construcciones, construcciones de uso social/cultural, instalaciones críticas y servicios vitales, para identificar los tres primeros se depuraron, estandarizaron e integraron los catastros inmobiliarios municipales del GADMUR y GAD DMQ, posteriormente el catastro fue actualizado mediante </w:t>
      </w:r>
      <w:r w:rsidR="00F4535E">
        <w:rPr>
          <w:rFonts w:eastAsia="MS Mincho"/>
          <w:sz w:val="24"/>
          <w:szCs w:val="24"/>
          <w:lang w:val="es-EC"/>
        </w:rPr>
        <w:t xml:space="preserve">la </w:t>
      </w:r>
      <w:r w:rsidRPr="004F0E0D">
        <w:rPr>
          <w:rFonts w:eastAsia="MS Mincho"/>
          <w:sz w:val="24"/>
          <w:szCs w:val="24"/>
          <w:lang w:val="es-EC"/>
        </w:rPr>
        <w:t xml:space="preserve">digitalización de una ortofoto del </w:t>
      </w:r>
      <w:r w:rsidR="00F4535E">
        <w:rPr>
          <w:rFonts w:eastAsia="MS Mincho"/>
          <w:sz w:val="24"/>
          <w:szCs w:val="24"/>
          <w:lang w:val="es-EC"/>
        </w:rPr>
        <w:t xml:space="preserve">año </w:t>
      </w:r>
      <w:r w:rsidRPr="004F0E0D">
        <w:rPr>
          <w:rFonts w:eastAsia="MS Mincho"/>
          <w:sz w:val="24"/>
          <w:szCs w:val="24"/>
          <w:lang w:val="es-EC"/>
        </w:rPr>
        <w:t>2018. La identificación de las construcciones de tipo social/cultural e instalaciones críticas se realizó con ayuda de</w:t>
      </w:r>
      <w:r w:rsidR="00581CCF">
        <w:rPr>
          <w:rFonts w:eastAsia="MS Mincho"/>
          <w:sz w:val="24"/>
          <w:szCs w:val="24"/>
          <w:lang w:val="es-EC"/>
        </w:rPr>
        <w:t xml:space="preserve"> la</w:t>
      </w:r>
      <w:r w:rsidRPr="004F0E0D">
        <w:rPr>
          <w:rFonts w:eastAsia="MS Mincho"/>
          <w:sz w:val="24"/>
          <w:szCs w:val="24"/>
          <w:lang w:val="es-EC"/>
        </w:rPr>
        <w:t xml:space="preserve"> información acerca de uso de</w:t>
      </w:r>
      <w:r w:rsidR="00581CCF">
        <w:rPr>
          <w:rFonts w:eastAsia="MS Mincho"/>
          <w:sz w:val="24"/>
          <w:szCs w:val="24"/>
          <w:lang w:val="es-EC"/>
        </w:rPr>
        <w:t>l</w:t>
      </w:r>
      <w:r w:rsidRPr="004F0E0D">
        <w:rPr>
          <w:rFonts w:eastAsia="MS Mincho"/>
          <w:sz w:val="24"/>
          <w:szCs w:val="24"/>
          <w:lang w:val="es-EC"/>
        </w:rPr>
        <w:t xml:space="preserve"> suelo y de construcciones, contenida en las fichas catastrales, la información fue corroborada mediante visitas de campo. Finalmente fueron contabilizadas las construcciones funcionalmente comprometidas y calculados los porcentajes de las mismas en las cuatro zonas </w:t>
      </w:r>
      <w:r w:rsidRPr="004F0E0D">
        <w:rPr>
          <w:rFonts w:eastAsia="MS Mincho"/>
          <w:sz w:val="24"/>
          <w:szCs w:val="24"/>
          <w:lang w:val="es-EC"/>
        </w:rPr>
        <w:lastRenderedPageBreak/>
        <w:t xml:space="preserve">de valoración y para cada uno de los tipos de construcción, las construcciones </w:t>
      </w:r>
      <w:r w:rsidR="00593398">
        <w:rPr>
          <w:rFonts w:eastAsia="MS Mincho"/>
          <w:sz w:val="24"/>
          <w:szCs w:val="24"/>
          <w:lang w:val="es-EC"/>
        </w:rPr>
        <w:t xml:space="preserve">consideradas </w:t>
      </w:r>
      <w:r w:rsidRPr="004F0E0D">
        <w:rPr>
          <w:rFonts w:eastAsia="MS Mincho"/>
          <w:sz w:val="24"/>
          <w:szCs w:val="24"/>
          <w:lang w:val="es-EC"/>
        </w:rPr>
        <w:t>funcionalmente comprometidas son aquellas localizadas en áreas donde la columna de lahar fuera &gt;0,5 m.</w:t>
      </w:r>
    </w:p>
    <w:p w:rsidR="004F0E0D" w:rsidRPr="004F0E0D" w:rsidRDefault="004F0E0D" w:rsidP="00361E35">
      <w:pPr>
        <w:pStyle w:val="Textoindependiente"/>
        <w:ind w:firstLine="567"/>
        <w:contextualSpacing/>
        <w:jc w:val="both"/>
        <w:rPr>
          <w:rFonts w:eastAsia="MS Mincho"/>
          <w:sz w:val="24"/>
          <w:szCs w:val="24"/>
          <w:lang w:val="es-EC"/>
        </w:rPr>
      </w:pPr>
      <w:r w:rsidRPr="004F0E0D">
        <w:rPr>
          <w:rFonts w:eastAsia="MS Mincho"/>
          <w:sz w:val="24"/>
          <w:szCs w:val="24"/>
          <w:lang w:val="es-EC"/>
        </w:rPr>
        <w:t xml:space="preserve">Dentro de lo correspondiente a servicios vitales fueron evaluados los servicios de agua potable, alcantarillado, electricidad y de transporte, la evaluación abarco al total de la población urbana afectada en el GADMUR y el GAD DMQ. El servicio de agua potable está a cargo de la Empresa Pública Metropolitana de Agua Potable y Saneamiento (EPMAPS) en Quito y por la Dirección de Agua Potable y Alcantarillado en Rumiñahui, </w:t>
      </w:r>
      <w:r w:rsidR="00581CCF">
        <w:rPr>
          <w:rFonts w:eastAsia="MS Mincho"/>
          <w:sz w:val="24"/>
          <w:szCs w:val="24"/>
          <w:lang w:val="es-EC"/>
        </w:rPr>
        <w:t xml:space="preserve">se encontró que </w:t>
      </w:r>
      <w:r w:rsidRPr="004F0E0D">
        <w:rPr>
          <w:rFonts w:eastAsia="MS Mincho"/>
          <w:sz w:val="24"/>
          <w:szCs w:val="24"/>
          <w:lang w:val="es-EC"/>
        </w:rPr>
        <w:t xml:space="preserve">los sistemas de abastecimiento se encuentran conformados por elementos de captación, tratamiento y distribución del agua. </w:t>
      </w:r>
      <w:r w:rsidR="00581CCF">
        <w:rPr>
          <w:rFonts w:eastAsia="MS Mincho"/>
          <w:sz w:val="24"/>
          <w:szCs w:val="24"/>
          <w:lang w:val="es-EC"/>
        </w:rPr>
        <w:t xml:space="preserve">En ambas áreas urbanas </w:t>
      </w:r>
      <w:r w:rsidR="00361E35">
        <w:rPr>
          <w:rFonts w:eastAsia="MS Mincho"/>
          <w:sz w:val="24"/>
          <w:szCs w:val="24"/>
          <w:lang w:val="es-EC"/>
        </w:rPr>
        <w:t>la principal afectación se da en las líneas de captación ya que pese a las medidas de mitigación tom</w:t>
      </w:r>
      <w:r w:rsidR="00361E35" w:rsidRPr="0000378C">
        <w:rPr>
          <w:rFonts w:eastAsia="MS Mincho"/>
          <w:sz w:val="24"/>
          <w:szCs w:val="24"/>
          <w:lang w:val="es-EC"/>
        </w:rPr>
        <w:t>adas</w:t>
      </w:r>
      <w:r w:rsidR="008224E5" w:rsidRPr="0000378C">
        <w:rPr>
          <w:rFonts w:eastAsia="MS Mincho"/>
          <w:sz w:val="24"/>
          <w:szCs w:val="24"/>
          <w:lang w:val="es-EC"/>
        </w:rPr>
        <w:t>,</w:t>
      </w:r>
      <w:r w:rsidR="00361E35" w:rsidRPr="0000378C">
        <w:rPr>
          <w:rFonts w:eastAsia="MS Mincho"/>
          <w:sz w:val="24"/>
          <w:szCs w:val="24"/>
          <w:lang w:val="es-EC"/>
        </w:rPr>
        <w:t xml:space="preserve"> </w:t>
      </w:r>
      <w:r w:rsidR="00645B3E" w:rsidRPr="0000378C">
        <w:rPr>
          <w:rFonts w:eastAsia="MS Mincho"/>
          <w:sz w:val="24"/>
          <w:szCs w:val="24"/>
          <w:lang w:val="es-EC"/>
        </w:rPr>
        <w:t xml:space="preserve">en el caso de Quito, </w:t>
      </w:r>
      <w:r w:rsidR="00361E35" w:rsidRPr="0000378C">
        <w:rPr>
          <w:rFonts w:eastAsia="MS Mincho"/>
          <w:sz w:val="24"/>
          <w:szCs w:val="24"/>
          <w:lang w:val="es-EC"/>
        </w:rPr>
        <w:t xml:space="preserve">de las 9 zonas hídricas con las que cuenta la ciudad </w:t>
      </w:r>
      <w:r w:rsidR="00645B3E" w:rsidRPr="0000378C">
        <w:rPr>
          <w:rFonts w:eastAsia="MS Mincho"/>
          <w:sz w:val="24"/>
          <w:szCs w:val="24"/>
          <w:lang w:val="es-EC"/>
        </w:rPr>
        <w:t>se</w:t>
      </w:r>
      <w:r w:rsidR="00361E35" w:rsidRPr="0000378C">
        <w:rPr>
          <w:rFonts w:eastAsia="MS Mincho"/>
          <w:sz w:val="24"/>
          <w:szCs w:val="24"/>
          <w:lang w:val="es-EC"/>
        </w:rPr>
        <w:t xml:space="preserve"> vería </w:t>
      </w:r>
      <w:r w:rsidR="00645B3E" w:rsidRPr="0000378C">
        <w:rPr>
          <w:rFonts w:eastAsia="MS Mincho"/>
          <w:sz w:val="24"/>
          <w:szCs w:val="24"/>
          <w:lang w:val="es-EC"/>
        </w:rPr>
        <w:t xml:space="preserve">especialmente </w:t>
      </w:r>
      <w:r w:rsidR="00361E35" w:rsidRPr="0000378C">
        <w:rPr>
          <w:rFonts w:eastAsia="MS Mincho"/>
          <w:sz w:val="24"/>
          <w:szCs w:val="24"/>
          <w:lang w:val="es-EC"/>
        </w:rPr>
        <w:t xml:space="preserve">afectada </w:t>
      </w:r>
      <w:r w:rsidRPr="0000378C">
        <w:rPr>
          <w:rFonts w:eastAsia="MS Mincho"/>
          <w:sz w:val="24"/>
          <w:szCs w:val="24"/>
          <w:lang w:val="es-EC"/>
        </w:rPr>
        <w:t xml:space="preserve">la zona hídrica Puengasí-Placer, </w:t>
      </w:r>
      <w:r w:rsidR="00645B3E" w:rsidRPr="0000378C">
        <w:rPr>
          <w:rFonts w:eastAsia="MS Mincho"/>
          <w:sz w:val="24"/>
          <w:szCs w:val="24"/>
          <w:lang w:val="es-EC"/>
        </w:rPr>
        <w:t>al abastecerse con líquido proveniente</w:t>
      </w:r>
      <w:r w:rsidR="00361E35" w:rsidRPr="0000378C">
        <w:rPr>
          <w:rFonts w:eastAsia="MS Mincho"/>
          <w:sz w:val="24"/>
          <w:szCs w:val="24"/>
          <w:lang w:val="es-EC"/>
        </w:rPr>
        <w:t xml:space="preserve"> del río Pita</w:t>
      </w:r>
      <w:r w:rsidRPr="0000378C">
        <w:rPr>
          <w:rFonts w:eastAsia="MS Mincho"/>
          <w:sz w:val="24"/>
          <w:szCs w:val="24"/>
          <w:lang w:val="es-EC"/>
        </w:rPr>
        <w:t xml:space="preserve">, </w:t>
      </w:r>
      <w:r w:rsidR="00645B3E" w:rsidRPr="0000378C">
        <w:rPr>
          <w:rFonts w:eastAsia="MS Mincho"/>
          <w:sz w:val="24"/>
          <w:szCs w:val="24"/>
          <w:lang w:val="es-EC"/>
        </w:rPr>
        <w:t>lo que</w:t>
      </w:r>
      <w:r w:rsidR="00645B3E">
        <w:rPr>
          <w:rFonts w:eastAsia="MS Mincho"/>
          <w:sz w:val="24"/>
          <w:szCs w:val="24"/>
          <w:lang w:val="es-EC"/>
        </w:rPr>
        <w:t xml:space="preserve"> limitaría el servicio en</w:t>
      </w:r>
      <w:r w:rsidRPr="004F0E0D">
        <w:rPr>
          <w:rFonts w:eastAsia="MS Mincho"/>
          <w:sz w:val="24"/>
          <w:szCs w:val="24"/>
          <w:lang w:val="es-EC"/>
        </w:rPr>
        <w:t xml:space="preserve"> </w:t>
      </w:r>
      <w:r w:rsidR="00645B3E">
        <w:rPr>
          <w:rFonts w:eastAsia="MS Mincho"/>
          <w:sz w:val="24"/>
          <w:szCs w:val="24"/>
          <w:lang w:val="es-EC"/>
        </w:rPr>
        <w:t>e</w:t>
      </w:r>
      <w:r w:rsidRPr="004F0E0D">
        <w:rPr>
          <w:rFonts w:eastAsia="MS Mincho"/>
          <w:sz w:val="24"/>
          <w:szCs w:val="24"/>
          <w:lang w:val="es-EC"/>
        </w:rPr>
        <w:t>l sur y centro sur de la ciudad de Quito</w:t>
      </w:r>
      <w:r w:rsidR="00645B3E">
        <w:rPr>
          <w:rFonts w:eastAsia="MS Mincho"/>
          <w:sz w:val="24"/>
          <w:szCs w:val="24"/>
          <w:lang w:val="es-EC"/>
        </w:rPr>
        <w:t xml:space="preserve"> afectando</w:t>
      </w:r>
      <w:r w:rsidRPr="004F0E0D">
        <w:rPr>
          <w:rFonts w:eastAsia="MS Mincho"/>
          <w:sz w:val="24"/>
          <w:szCs w:val="24"/>
          <w:lang w:val="es-EC"/>
        </w:rPr>
        <w:t xml:space="preserve"> al 32,79 % de la población urbana hasta la reparación de la línea que tomaría cerca de 8 meses </w:t>
      </w:r>
      <w:sdt>
        <w:sdtPr>
          <w:rPr>
            <w:lang w:val="en-US"/>
          </w:rPr>
          <w:id w:val="-711886455"/>
          <w:citation/>
        </w:sdtPr>
        <w:sdtEndPr/>
        <w:sdtContent>
          <w:r w:rsidR="0000378C" w:rsidRPr="0000378C">
            <w:rPr>
              <w:sz w:val="24"/>
              <w:szCs w:val="24"/>
              <w:lang w:val="en-US"/>
            </w:rPr>
            <w:fldChar w:fldCharType="begin"/>
          </w:r>
          <w:r w:rsidR="0000378C" w:rsidRPr="0000378C">
            <w:rPr>
              <w:sz w:val="24"/>
              <w:szCs w:val="24"/>
              <w:lang w:val="es-EC"/>
            </w:rPr>
            <w:instrText xml:space="preserve">CITATION Peñ16 \l 12298 </w:instrText>
          </w:r>
          <w:r w:rsidR="0000378C" w:rsidRPr="0000378C">
            <w:rPr>
              <w:sz w:val="24"/>
              <w:szCs w:val="24"/>
              <w:lang w:val="en-US"/>
            </w:rPr>
            <w:fldChar w:fldCharType="separate"/>
          </w:r>
          <w:r w:rsidR="007E60DF" w:rsidRPr="007E60DF">
            <w:rPr>
              <w:noProof/>
              <w:sz w:val="24"/>
              <w:szCs w:val="24"/>
              <w:lang w:val="es-EC"/>
            </w:rPr>
            <w:t>(Peña, 2016)</w:t>
          </w:r>
          <w:r w:rsidR="0000378C" w:rsidRPr="0000378C">
            <w:rPr>
              <w:sz w:val="24"/>
              <w:szCs w:val="24"/>
              <w:lang w:val="en-US"/>
            </w:rPr>
            <w:fldChar w:fldCharType="end"/>
          </w:r>
        </w:sdtContent>
      </w:sdt>
      <w:r w:rsidR="0000378C" w:rsidRPr="0000378C">
        <w:rPr>
          <w:rFonts w:eastAsia="MS Mincho"/>
          <w:sz w:val="24"/>
          <w:szCs w:val="24"/>
          <w:lang w:val="es-EC"/>
        </w:rPr>
        <w:t xml:space="preserve">. </w:t>
      </w:r>
      <w:r w:rsidRPr="004F0E0D">
        <w:rPr>
          <w:rFonts w:eastAsia="MS Mincho"/>
          <w:sz w:val="24"/>
          <w:szCs w:val="24"/>
          <w:lang w:val="es-EC"/>
        </w:rPr>
        <w:t xml:space="preserve">Mientras tanto el cantón Rumiñahui se abastece de 17 vertientes y pozos, su principal sistema de captación es el de Molinuco que abastece al </w:t>
      </w:r>
      <w:r w:rsidR="00645B3E">
        <w:rPr>
          <w:rFonts w:eastAsia="MS Mincho"/>
          <w:sz w:val="24"/>
          <w:szCs w:val="24"/>
          <w:lang w:val="es-EC"/>
        </w:rPr>
        <w:t xml:space="preserve">50% de la población del cantón </w:t>
      </w:r>
      <w:r w:rsidRPr="004F0E0D">
        <w:rPr>
          <w:rFonts w:eastAsia="MS Mincho"/>
          <w:sz w:val="24"/>
          <w:szCs w:val="24"/>
          <w:lang w:val="es-EC"/>
        </w:rPr>
        <w:t xml:space="preserve">se vería especialmente afectado por el paso del lahar </w:t>
      </w:r>
      <w:r w:rsidRPr="0000378C">
        <w:rPr>
          <w:rFonts w:eastAsia="MS Mincho"/>
          <w:sz w:val="24"/>
          <w:szCs w:val="24"/>
          <w:lang w:val="es-EC"/>
        </w:rPr>
        <w:t>ya que la tubería cruza por debajo del río</w:t>
      </w:r>
      <w:r w:rsidR="00F4535E" w:rsidRPr="0000378C">
        <w:rPr>
          <w:rFonts w:eastAsia="MS Mincho"/>
          <w:sz w:val="24"/>
          <w:szCs w:val="24"/>
          <w:lang w:val="es-EC"/>
        </w:rPr>
        <w:t xml:space="preserve">, </w:t>
      </w:r>
      <w:r w:rsidR="00645B3E" w:rsidRPr="0000378C">
        <w:rPr>
          <w:rFonts w:eastAsia="MS Mincho"/>
          <w:sz w:val="24"/>
          <w:szCs w:val="24"/>
          <w:lang w:val="es-EC"/>
        </w:rPr>
        <w:t>lo cual</w:t>
      </w:r>
      <w:r w:rsidR="00F4535E" w:rsidRPr="0000378C">
        <w:rPr>
          <w:rFonts w:eastAsia="MS Mincho"/>
          <w:sz w:val="24"/>
          <w:szCs w:val="24"/>
          <w:lang w:val="es-EC"/>
        </w:rPr>
        <w:t xml:space="preserve"> generaría un importante desabastecimiento </w:t>
      </w:r>
      <w:r w:rsidR="00645B3E" w:rsidRPr="0000378C">
        <w:rPr>
          <w:rFonts w:eastAsia="MS Mincho"/>
          <w:sz w:val="24"/>
          <w:szCs w:val="24"/>
          <w:lang w:val="es-EC"/>
        </w:rPr>
        <w:t>a la mitad de la población</w:t>
      </w:r>
      <w:r w:rsidR="00F4535E" w:rsidRPr="0000378C">
        <w:rPr>
          <w:rFonts w:eastAsia="MS Mincho"/>
          <w:sz w:val="24"/>
          <w:szCs w:val="24"/>
          <w:lang w:val="es-EC"/>
        </w:rPr>
        <w:t xml:space="preserve"> hasta </w:t>
      </w:r>
      <w:r w:rsidR="00444165" w:rsidRPr="0000378C">
        <w:rPr>
          <w:rFonts w:eastAsia="MS Mincho"/>
          <w:sz w:val="24"/>
          <w:szCs w:val="24"/>
          <w:lang w:val="es-EC"/>
        </w:rPr>
        <w:t>reparar</w:t>
      </w:r>
      <w:r w:rsidR="00F4535E" w:rsidRPr="0000378C">
        <w:rPr>
          <w:rFonts w:eastAsia="MS Mincho"/>
          <w:sz w:val="24"/>
          <w:szCs w:val="24"/>
          <w:lang w:val="es-EC"/>
        </w:rPr>
        <w:t xml:space="preserve"> los desperfectos</w:t>
      </w:r>
      <w:r w:rsidR="00645B3E" w:rsidRPr="0000378C">
        <w:rPr>
          <w:rFonts w:eastAsia="MS Mincho"/>
          <w:sz w:val="24"/>
          <w:szCs w:val="24"/>
          <w:lang w:val="es-EC"/>
        </w:rPr>
        <w:t>, lo</w:t>
      </w:r>
      <w:r w:rsidR="00F4535E" w:rsidRPr="0000378C">
        <w:rPr>
          <w:rFonts w:eastAsia="MS Mincho"/>
          <w:sz w:val="24"/>
          <w:szCs w:val="24"/>
          <w:lang w:val="es-EC"/>
        </w:rPr>
        <w:t xml:space="preserve"> que podría llevar más de un mes</w:t>
      </w:r>
      <w:r w:rsidR="0000378C" w:rsidRPr="0000378C">
        <w:rPr>
          <w:rFonts w:eastAsia="MS Mincho"/>
          <w:sz w:val="24"/>
          <w:szCs w:val="24"/>
          <w:lang w:val="es-EC"/>
        </w:rPr>
        <w:t>.</w:t>
      </w:r>
    </w:p>
    <w:p w:rsidR="004F0E0D" w:rsidRDefault="004F0E0D" w:rsidP="003349A4">
      <w:pPr>
        <w:pStyle w:val="Textoindependiente"/>
        <w:ind w:firstLine="567"/>
        <w:contextualSpacing/>
        <w:jc w:val="both"/>
        <w:rPr>
          <w:rFonts w:eastAsia="MS Mincho"/>
          <w:sz w:val="24"/>
          <w:szCs w:val="24"/>
          <w:lang w:val="es-EC"/>
        </w:rPr>
      </w:pPr>
      <w:r w:rsidRPr="004F0E0D">
        <w:rPr>
          <w:rFonts w:eastAsia="MS Mincho"/>
          <w:sz w:val="24"/>
          <w:szCs w:val="24"/>
          <w:lang w:val="es-EC"/>
        </w:rPr>
        <w:t xml:space="preserve">La distribución de energía eléctrica de los cantones Quito y Rumiñahui está a cargo de la Empresa Eléctrica Quito (EEQ), el sistema eléctrico está conformado por las subestaciones de transmisión y distribución, las líneas de subtransmisión, las líneas de distribución y los puntos de carga (medidores), y es abastecido principalmente por el Sistema Nacional de Transmisión (SNT) y en menor medida de pequeñas centrales hidroeléctricas y térmicas, propiedad de la EEQ. Tras realizar el análisis se determinó que </w:t>
      </w:r>
      <w:r w:rsidR="008224E5">
        <w:rPr>
          <w:rFonts w:eastAsia="MS Mincho"/>
          <w:sz w:val="24"/>
          <w:szCs w:val="24"/>
          <w:lang w:val="es-EC"/>
        </w:rPr>
        <w:t>l</w:t>
      </w:r>
      <w:r w:rsidRPr="004F0E0D">
        <w:rPr>
          <w:rFonts w:eastAsia="MS Mincho"/>
          <w:sz w:val="24"/>
          <w:szCs w:val="24"/>
          <w:lang w:val="es-EC"/>
        </w:rPr>
        <w:t>a principal afectación sería debido a la pérdida de las líneas de distribución (postes y cableado) en la zona de afectación directa del lahar</w:t>
      </w:r>
      <w:r w:rsidR="008224E5">
        <w:rPr>
          <w:rFonts w:eastAsia="MS Mincho"/>
          <w:sz w:val="24"/>
          <w:szCs w:val="24"/>
          <w:lang w:val="es-EC"/>
        </w:rPr>
        <w:t xml:space="preserve"> y de la </w:t>
      </w:r>
      <w:r w:rsidR="008224E5" w:rsidRPr="003349A4">
        <w:rPr>
          <w:rFonts w:eastAsia="MS Mincho"/>
          <w:sz w:val="24"/>
          <w:szCs w:val="24"/>
          <w:lang w:val="es-EC"/>
        </w:rPr>
        <w:t>subestación de San Rafael</w:t>
      </w:r>
      <w:r w:rsidRPr="003349A4">
        <w:rPr>
          <w:rFonts w:eastAsia="MS Mincho"/>
          <w:sz w:val="24"/>
          <w:szCs w:val="24"/>
          <w:lang w:val="es-EC"/>
        </w:rPr>
        <w:t xml:space="preserve">. El tiempo de reposición se estimó en un lapso no menor a 3 meses en base a tiempos estimados para </w:t>
      </w:r>
      <w:r w:rsidR="00F4535E" w:rsidRPr="003349A4">
        <w:rPr>
          <w:rFonts w:eastAsia="MS Mincho"/>
          <w:sz w:val="24"/>
          <w:szCs w:val="24"/>
          <w:lang w:val="es-EC"/>
        </w:rPr>
        <w:t>la reposición de subestaciones en condiciones normales</w:t>
      </w:r>
      <w:r w:rsidR="003349A4" w:rsidRPr="003349A4">
        <w:rPr>
          <w:rFonts w:eastAsia="MS Mincho"/>
          <w:sz w:val="24"/>
          <w:szCs w:val="24"/>
          <w:lang w:val="es-EC"/>
        </w:rPr>
        <w:t xml:space="preserve"> </w:t>
      </w:r>
      <w:sdt>
        <w:sdtPr>
          <w:rPr>
            <w:rFonts w:eastAsia="MS Mincho"/>
            <w:sz w:val="24"/>
            <w:szCs w:val="24"/>
            <w:lang w:val="es-EC"/>
          </w:rPr>
          <w:id w:val="984516970"/>
          <w:citation/>
        </w:sdtPr>
        <w:sdtEndPr/>
        <w:sdtContent>
          <w:r w:rsidRPr="003349A4">
            <w:rPr>
              <w:rFonts w:eastAsia="MS Mincho"/>
              <w:sz w:val="24"/>
              <w:szCs w:val="24"/>
              <w:lang w:val="es-EC"/>
            </w:rPr>
            <w:fldChar w:fldCharType="begin"/>
          </w:r>
          <w:r w:rsidR="003349A4" w:rsidRPr="003349A4">
            <w:rPr>
              <w:rFonts w:eastAsia="MS Mincho"/>
              <w:sz w:val="24"/>
              <w:szCs w:val="24"/>
              <w:lang w:val="es-EC"/>
            </w:rPr>
            <w:instrText xml:space="preserve">CITATION Nar07 \l 12298 </w:instrText>
          </w:r>
          <w:r w:rsidRPr="003349A4">
            <w:rPr>
              <w:rFonts w:eastAsia="MS Mincho"/>
              <w:sz w:val="24"/>
              <w:szCs w:val="24"/>
              <w:lang w:val="es-EC"/>
            </w:rPr>
            <w:fldChar w:fldCharType="separate"/>
          </w:r>
          <w:r w:rsidR="007E60DF" w:rsidRPr="007E60DF">
            <w:rPr>
              <w:rFonts w:eastAsia="MS Mincho"/>
              <w:noProof/>
              <w:sz w:val="24"/>
              <w:szCs w:val="24"/>
              <w:lang w:val="es-EC"/>
            </w:rPr>
            <w:t>(Narváez, 2007)</w:t>
          </w:r>
          <w:r w:rsidRPr="003349A4">
            <w:rPr>
              <w:rFonts w:eastAsia="MS Mincho"/>
              <w:sz w:val="24"/>
              <w:szCs w:val="24"/>
              <w:lang w:val="es-EC"/>
            </w:rPr>
            <w:fldChar w:fldCharType="end"/>
          </w:r>
        </w:sdtContent>
      </w:sdt>
      <w:r w:rsidRPr="003349A4">
        <w:rPr>
          <w:rFonts w:eastAsia="MS Mincho"/>
          <w:sz w:val="24"/>
          <w:szCs w:val="24"/>
          <w:lang w:val="es-EC"/>
        </w:rPr>
        <w:t>.</w:t>
      </w:r>
      <w:r w:rsidRPr="004F0E0D">
        <w:rPr>
          <w:rFonts w:eastAsia="MS Mincho"/>
          <w:sz w:val="24"/>
          <w:szCs w:val="24"/>
          <w:lang w:val="es-EC"/>
        </w:rPr>
        <w:t xml:space="preserve"> </w:t>
      </w:r>
      <w:r w:rsidR="008224E5">
        <w:rPr>
          <w:rFonts w:eastAsia="MS Mincho"/>
          <w:sz w:val="24"/>
          <w:szCs w:val="24"/>
          <w:lang w:val="es-EC"/>
        </w:rPr>
        <w:t xml:space="preserve"> </w:t>
      </w:r>
      <w:r w:rsidRPr="004F0E0D">
        <w:rPr>
          <w:rFonts w:eastAsia="MS Mincho"/>
          <w:sz w:val="24"/>
          <w:szCs w:val="24"/>
          <w:lang w:val="es-EC"/>
        </w:rPr>
        <w:t xml:space="preserve">En </w:t>
      </w:r>
      <w:r w:rsidR="003349A4">
        <w:rPr>
          <w:rFonts w:eastAsia="MS Mincho"/>
          <w:sz w:val="24"/>
          <w:szCs w:val="24"/>
          <w:lang w:val="es-EC"/>
        </w:rPr>
        <w:t xml:space="preserve">lo referente a transporte, luego de una revisión de estudios anteriores en los que se analizó las afectaciones a la red vial y se </w:t>
      </w:r>
      <w:r w:rsidRPr="004F0E0D">
        <w:rPr>
          <w:rFonts w:eastAsia="MS Mincho"/>
          <w:sz w:val="24"/>
          <w:szCs w:val="24"/>
          <w:lang w:val="es-EC"/>
        </w:rPr>
        <w:t>determinó las afectaciones por el lahar</w:t>
      </w:r>
      <w:r w:rsidR="000D325A">
        <w:rPr>
          <w:rFonts w:eastAsia="MS Mincho"/>
          <w:sz w:val="24"/>
          <w:szCs w:val="24"/>
          <w:lang w:val="es-EC"/>
        </w:rPr>
        <w:t xml:space="preserve"> en el valle de Los Chillos</w:t>
      </w:r>
      <w:r w:rsidRPr="004F0E0D">
        <w:rPr>
          <w:rFonts w:eastAsia="MS Mincho"/>
          <w:sz w:val="24"/>
          <w:szCs w:val="24"/>
          <w:lang w:val="es-EC"/>
        </w:rPr>
        <w:t>, el tiempo estimado de reposición y la incidencia que tendría en el serv</w:t>
      </w:r>
      <w:r w:rsidR="006E3543">
        <w:rPr>
          <w:rFonts w:eastAsia="MS Mincho"/>
          <w:sz w:val="24"/>
          <w:szCs w:val="24"/>
          <w:lang w:val="es-EC"/>
        </w:rPr>
        <w:t>icio</w:t>
      </w:r>
      <w:r w:rsidR="003349A4">
        <w:rPr>
          <w:rFonts w:eastAsia="MS Mincho"/>
          <w:sz w:val="24"/>
          <w:szCs w:val="24"/>
          <w:lang w:val="es-EC"/>
        </w:rPr>
        <w:t xml:space="preserve"> se consideró una vulnerabilidad</w:t>
      </w:r>
      <w:r w:rsidRPr="004F0E0D">
        <w:rPr>
          <w:rFonts w:eastAsia="MS Mincho"/>
          <w:sz w:val="24"/>
          <w:szCs w:val="24"/>
          <w:lang w:val="es-EC"/>
        </w:rPr>
        <w:t xml:space="preserve"> baja de la red vial ante la ocurrencia de un lahar del Coto</w:t>
      </w:r>
      <w:r w:rsidR="000D325A">
        <w:rPr>
          <w:rFonts w:eastAsia="MS Mincho"/>
          <w:sz w:val="24"/>
          <w:szCs w:val="24"/>
          <w:lang w:val="es-EC"/>
        </w:rPr>
        <w:t>paxi</w:t>
      </w:r>
      <w:r w:rsidR="003349A4">
        <w:rPr>
          <w:rFonts w:eastAsia="MS Mincho"/>
          <w:sz w:val="24"/>
          <w:szCs w:val="24"/>
          <w:lang w:val="es-EC"/>
        </w:rPr>
        <w:t xml:space="preserve"> </w:t>
      </w:r>
      <w:r w:rsidR="003349A4">
        <w:rPr>
          <w:rFonts w:eastAsia="MS Mincho"/>
          <w:noProof/>
          <w:sz w:val="24"/>
          <w:szCs w:val="24"/>
          <w:lang w:val="es-EC"/>
        </w:rPr>
        <w:t xml:space="preserve">(Narváez, 2007; </w:t>
      </w:r>
      <w:r w:rsidR="003349A4" w:rsidRPr="003349A4">
        <w:rPr>
          <w:noProof/>
          <w:sz w:val="24"/>
          <w:szCs w:val="24"/>
          <w:lang w:val="es-EC"/>
        </w:rPr>
        <w:t xml:space="preserve">Tibanlombo </w:t>
      </w:r>
      <w:r w:rsidR="00D0652A">
        <w:rPr>
          <w:noProof/>
          <w:sz w:val="24"/>
          <w:szCs w:val="24"/>
          <w:lang w:val="es-EC"/>
        </w:rPr>
        <w:t>y</w:t>
      </w:r>
      <w:r w:rsidR="003349A4" w:rsidRPr="003349A4">
        <w:rPr>
          <w:noProof/>
          <w:sz w:val="24"/>
          <w:szCs w:val="24"/>
          <w:lang w:val="es-EC"/>
        </w:rPr>
        <w:t xml:space="preserve"> Villacís, 2013)</w:t>
      </w:r>
      <w:r w:rsidR="000D325A">
        <w:rPr>
          <w:rFonts w:eastAsia="MS Mincho"/>
          <w:sz w:val="24"/>
          <w:szCs w:val="24"/>
          <w:lang w:val="es-EC"/>
        </w:rPr>
        <w:t>. Así l</w:t>
      </w:r>
      <w:r w:rsidRPr="004F0E0D">
        <w:rPr>
          <w:rFonts w:eastAsia="MS Mincho"/>
          <w:sz w:val="24"/>
          <w:szCs w:val="24"/>
          <w:lang w:val="es-EC"/>
        </w:rPr>
        <w:t>a principal afectación del transporte se daría en la zona de afectación directa del lahar y de la zona inter lahar, por más de dos meses hasta el despeje de las vías principales. De igual form</w:t>
      </w:r>
      <w:r w:rsidR="008224E5">
        <w:rPr>
          <w:rFonts w:eastAsia="MS Mincho"/>
          <w:sz w:val="24"/>
          <w:szCs w:val="24"/>
          <w:lang w:val="es-EC"/>
        </w:rPr>
        <w:t xml:space="preserve">a el sistema de saneamiento </w:t>
      </w:r>
      <w:r w:rsidRPr="004F0E0D">
        <w:rPr>
          <w:rFonts w:eastAsia="MS Mincho"/>
          <w:sz w:val="24"/>
          <w:szCs w:val="24"/>
          <w:lang w:val="es-EC"/>
        </w:rPr>
        <w:t>se vería principalmente afectado por el taponamiento de tuberías y desagües debido a la acumulación de material, el tiempo de paralización de este servicio en el área afectada sería indefinido.</w:t>
      </w:r>
    </w:p>
    <w:p w:rsidR="008224E5" w:rsidRPr="004F0E0D" w:rsidRDefault="008224E5" w:rsidP="008224E5">
      <w:pPr>
        <w:pStyle w:val="Textoindependiente"/>
        <w:ind w:firstLine="567"/>
        <w:contextualSpacing/>
        <w:jc w:val="both"/>
        <w:rPr>
          <w:rFonts w:eastAsia="MS Mincho"/>
          <w:sz w:val="24"/>
          <w:szCs w:val="24"/>
          <w:lang w:val="es-EC"/>
        </w:rPr>
      </w:pPr>
      <w:r w:rsidRPr="004F0E0D">
        <w:rPr>
          <w:rFonts w:eastAsia="MS Mincho"/>
          <w:sz w:val="24"/>
          <w:szCs w:val="24"/>
          <w:lang w:val="es-EC"/>
        </w:rPr>
        <w:t>En la estimación del porcentaje de la población urbana del DMQ y del GADMUR que se quedaría sin los servicios de electricidad, alcantarill</w:t>
      </w:r>
      <w:r w:rsidR="000D325A">
        <w:rPr>
          <w:rFonts w:eastAsia="MS Mincho"/>
          <w:sz w:val="24"/>
          <w:szCs w:val="24"/>
          <w:lang w:val="es-EC"/>
        </w:rPr>
        <w:t>ado y transporte se consideró un</w:t>
      </w:r>
      <w:r w:rsidRPr="004F0E0D">
        <w:rPr>
          <w:rFonts w:eastAsia="MS Mincho"/>
          <w:sz w:val="24"/>
          <w:szCs w:val="24"/>
          <w:lang w:val="es-EC"/>
        </w:rPr>
        <w:t xml:space="preserve">a zona adicional de 50 m alrededor del lahar, </w:t>
      </w:r>
      <w:r w:rsidR="002F4686">
        <w:rPr>
          <w:rFonts w:eastAsia="MS Mincho"/>
          <w:sz w:val="24"/>
          <w:szCs w:val="24"/>
          <w:lang w:val="es-EC"/>
        </w:rPr>
        <w:t>Figura 5</w:t>
      </w:r>
      <w:r w:rsidRPr="004F0E0D">
        <w:rPr>
          <w:rFonts w:eastAsia="MS Mincho"/>
          <w:sz w:val="24"/>
          <w:szCs w:val="24"/>
          <w:lang w:val="es-EC"/>
        </w:rPr>
        <w:t xml:space="preserve">, además, se incluyó dentro del área afectada por el lahar a la zona inter lahar que se localiza entre los ríos Santa Clara y Pita, representada de color naranja. </w:t>
      </w:r>
      <w:r w:rsidR="00647686">
        <w:rPr>
          <w:rFonts w:eastAsia="MS Mincho"/>
          <w:sz w:val="24"/>
          <w:szCs w:val="24"/>
          <w:lang w:val="es-EC"/>
        </w:rPr>
        <w:t>El número de afectados se obtuvo al cruzar</w:t>
      </w:r>
      <w:r w:rsidRPr="004F0E0D">
        <w:rPr>
          <w:rFonts w:eastAsia="MS Mincho"/>
          <w:sz w:val="24"/>
          <w:szCs w:val="24"/>
          <w:lang w:val="es-EC"/>
        </w:rPr>
        <w:t xml:space="preserve"> un mapa de densidad poblacional al año 2019 </w:t>
      </w:r>
      <w:r w:rsidR="00647686">
        <w:rPr>
          <w:rFonts w:eastAsia="MS Mincho"/>
          <w:sz w:val="24"/>
          <w:szCs w:val="24"/>
          <w:lang w:val="es-EC"/>
        </w:rPr>
        <w:t>con</w:t>
      </w:r>
      <w:r w:rsidRPr="004F0E0D">
        <w:rPr>
          <w:rFonts w:eastAsia="MS Mincho"/>
          <w:sz w:val="24"/>
          <w:szCs w:val="24"/>
          <w:lang w:val="es-EC"/>
        </w:rPr>
        <w:t xml:space="preserve"> </w:t>
      </w:r>
      <w:r w:rsidR="00647686">
        <w:rPr>
          <w:rFonts w:eastAsia="MS Mincho"/>
          <w:sz w:val="24"/>
          <w:szCs w:val="24"/>
          <w:lang w:val="es-EC"/>
        </w:rPr>
        <w:t>las zonas de valoración.</w:t>
      </w:r>
    </w:p>
    <w:p w:rsidR="008224E5" w:rsidRPr="004F0E0D" w:rsidRDefault="008224E5" w:rsidP="008224E5">
      <w:pPr>
        <w:pStyle w:val="Textoindependiente"/>
        <w:ind w:firstLine="567"/>
        <w:contextualSpacing/>
        <w:jc w:val="both"/>
        <w:rPr>
          <w:rFonts w:eastAsia="MS Mincho"/>
          <w:sz w:val="24"/>
          <w:szCs w:val="24"/>
          <w:lang w:val="es-EC"/>
        </w:rPr>
      </w:pPr>
    </w:p>
    <w:p w:rsidR="004F0E0D" w:rsidRPr="004F0E0D" w:rsidRDefault="004F0E0D" w:rsidP="004F0E0D">
      <w:pPr>
        <w:jc w:val="center"/>
        <w:rPr>
          <w:sz w:val="24"/>
          <w:szCs w:val="24"/>
          <w:lang w:val="es-EC"/>
        </w:rPr>
      </w:pPr>
      <w:r w:rsidRPr="004F0E0D">
        <w:rPr>
          <w:noProof/>
          <w:sz w:val="24"/>
          <w:szCs w:val="24"/>
          <w:lang w:val="es-EC" w:eastAsia="es-EC"/>
        </w:rPr>
        <w:lastRenderedPageBreak/>
        <w:drawing>
          <wp:inline distT="0" distB="0" distL="0" distR="0" wp14:anchorId="154F9725" wp14:editId="29661486">
            <wp:extent cx="4222987" cy="3505200"/>
            <wp:effectExtent l="0" t="0" r="635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5">
                      <a:extLst>
                        <a:ext uri="{28A0092B-C50C-407E-A947-70E740481C1C}">
                          <a14:useLocalDpi xmlns:a14="http://schemas.microsoft.com/office/drawing/2010/main" val="0"/>
                        </a:ext>
                      </a:extLst>
                    </a:blip>
                    <a:srcRect b="-821"/>
                    <a:stretch>
                      <a:fillRect/>
                    </a:stretch>
                  </pic:blipFill>
                  <pic:spPr bwMode="auto">
                    <a:xfrm>
                      <a:off x="0" y="0"/>
                      <a:ext cx="4234880" cy="3515071"/>
                    </a:xfrm>
                    <a:prstGeom prst="rect">
                      <a:avLst/>
                    </a:prstGeom>
                    <a:noFill/>
                    <a:ln>
                      <a:noFill/>
                    </a:ln>
                  </pic:spPr>
                </pic:pic>
              </a:graphicData>
            </a:graphic>
          </wp:inline>
        </w:drawing>
      </w:r>
    </w:p>
    <w:p w:rsidR="004F0E0D" w:rsidRPr="00647686" w:rsidRDefault="00647686" w:rsidP="00647686">
      <w:pPr>
        <w:pStyle w:val="Textoindependiente"/>
        <w:ind w:firstLine="567"/>
        <w:contextualSpacing/>
        <w:jc w:val="center"/>
        <w:rPr>
          <w:rFonts w:eastAsia="MS Mincho"/>
          <w:sz w:val="22"/>
          <w:szCs w:val="22"/>
          <w:lang w:val="es-EC"/>
        </w:rPr>
      </w:pPr>
      <w:bookmarkStart w:id="6" w:name="_Toc8000790"/>
      <w:r w:rsidRPr="00647686">
        <w:rPr>
          <w:rFonts w:eastAsia="MS Mincho"/>
          <w:sz w:val="22"/>
          <w:szCs w:val="22"/>
          <w:lang w:val="es-EC"/>
        </w:rPr>
        <w:t>Figura 5</w:t>
      </w:r>
      <w:r w:rsidR="004F0E0D" w:rsidRPr="00647686">
        <w:rPr>
          <w:rFonts w:eastAsia="MS Mincho"/>
          <w:sz w:val="22"/>
          <w:szCs w:val="22"/>
          <w:lang w:val="es-EC"/>
        </w:rPr>
        <w:t>. Afectación del lahar en las áreas urbanas del GADMUR y DMQ</w:t>
      </w:r>
      <w:bookmarkEnd w:id="6"/>
    </w:p>
    <w:p w:rsidR="00361E35" w:rsidRDefault="00361E35" w:rsidP="004F0E0D">
      <w:pPr>
        <w:pStyle w:val="Textoindependiente"/>
        <w:ind w:firstLine="567"/>
        <w:contextualSpacing/>
        <w:jc w:val="both"/>
        <w:rPr>
          <w:rFonts w:eastAsia="MS Mincho"/>
          <w:sz w:val="24"/>
          <w:szCs w:val="24"/>
          <w:lang w:val="es-EC"/>
        </w:rPr>
      </w:pPr>
    </w:p>
    <w:p w:rsidR="00BB30AC" w:rsidRDefault="00647686" w:rsidP="00BB30AC">
      <w:pPr>
        <w:pStyle w:val="Textoindependiente"/>
        <w:ind w:firstLine="567"/>
        <w:contextualSpacing/>
        <w:jc w:val="both"/>
        <w:rPr>
          <w:rFonts w:eastAsia="MS Mincho"/>
          <w:sz w:val="24"/>
          <w:szCs w:val="24"/>
          <w:lang w:val="es-EC"/>
        </w:rPr>
      </w:pPr>
      <w:r>
        <w:rPr>
          <w:rFonts w:eastAsia="MS Mincho"/>
          <w:sz w:val="24"/>
          <w:szCs w:val="24"/>
          <w:lang w:val="es-EC"/>
        </w:rPr>
        <w:t>En lo referente al</w:t>
      </w:r>
      <w:r w:rsidR="004F0E0D" w:rsidRPr="004F0E0D">
        <w:rPr>
          <w:rFonts w:eastAsia="MS Mincho"/>
          <w:sz w:val="24"/>
          <w:szCs w:val="24"/>
          <w:lang w:val="es-EC"/>
        </w:rPr>
        <w:t xml:space="preserve"> parámetro de salud y seguridad, se estimó el número de posibles muertes debido a la ocurrencia del lahar</w:t>
      </w:r>
      <w:r w:rsidR="00122699">
        <w:rPr>
          <w:rFonts w:eastAsia="MS Mincho"/>
          <w:sz w:val="24"/>
          <w:szCs w:val="24"/>
          <w:lang w:val="es-EC"/>
        </w:rPr>
        <w:t>,</w:t>
      </w:r>
      <w:r w:rsidR="004F0E0D" w:rsidRPr="004F0E0D">
        <w:rPr>
          <w:rFonts w:eastAsia="MS Mincho"/>
          <w:sz w:val="24"/>
          <w:szCs w:val="24"/>
          <w:lang w:val="es-EC"/>
        </w:rPr>
        <w:t xml:space="preserve"> a pa</w:t>
      </w:r>
      <w:r w:rsidR="00122699">
        <w:rPr>
          <w:rFonts w:eastAsia="MS Mincho"/>
          <w:sz w:val="24"/>
          <w:szCs w:val="24"/>
          <w:lang w:val="es-EC"/>
        </w:rPr>
        <w:t xml:space="preserve">rtir de un escenario propuesto </w:t>
      </w:r>
      <w:r w:rsidR="004F0E0D" w:rsidRPr="004F0E0D">
        <w:rPr>
          <w:rFonts w:eastAsia="MS Mincho"/>
          <w:sz w:val="24"/>
          <w:szCs w:val="24"/>
          <w:lang w:val="es-EC"/>
        </w:rPr>
        <w:t>en el que las personas que no se encuen</w:t>
      </w:r>
      <w:r w:rsidR="00122699">
        <w:rPr>
          <w:rFonts w:eastAsia="MS Mincho"/>
          <w:sz w:val="24"/>
          <w:szCs w:val="24"/>
          <w:lang w:val="es-EC"/>
        </w:rPr>
        <w:t>tran preparadas para afrontar una</w:t>
      </w:r>
      <w:r w:rsidR="004F0E0D" w:rsidRPr="004F0E0D">
        <w:rPr>
          <w:rFonts w:eastAsia="MS Mincho"/>
          <w:sz w:val="24"/>
          <w:szCs w:val="24"/>
          <w:lang w:val="es-EC"/>
        </w:rPr>
        <w:t xml:space="preserve"> situación de emergencia producto del lahar del Cotopaxi, pondrían en peligro su integridad física al no </w:t>
      </w:r>
      <w:r w:rsidR="00444165">
        <w:rPr>
          <w:rFonts w:eastAsia="MS Mincho"/>
          <w:sz w:val="24"/>
          <w:szCs w:val="24"/>
          <w:lang w:val="es-EC"/>
        </w:rPr>
        <w:t>evacuar</w:t>
      </w:r>
      <w:r w:rsidR="00122699">
        <w:rPr>
          <w:rFonts w:eastAsia="MS Mincho"/>
          <w:sz w:val="24"/>
          <w:szCs w:val="24"/>
          <w:lang w:val="es-EC"/>
        </w:rPr>
        <w:t xml:space="preserve"> a tiempo;</w:t>
      </w:r>
      <w:r w:rsidR="004F0E0D" w:rsidRPr="004F0E0D">
        <w:rPr>
          <w:rFonts w:eastAsia="MS Mincho"/>
          <w:sz w:val="24"/>
          <w:szCs w:val="24"/>
          <w:lang w:val="es-EC"/>
        </w:rPr>
        <w:t xml:space="preserve"> fueron consideradas únicamente las</w:t>
      </w:r>
      <w:r w:rsidR="00122699">
        <w:rPr>
          <w:rFonts w:eastAsia="MS Mincho"/>
          <w:sz w:val="24"/>
          <w:szCs w:val="24"/>
          <w:lang w:val="es-EC"/>
        </w:rPr>
        <w:t xml:space="preserve"> zonas 1 y 2, al ser las de mayor peligro</w:t>
      </w:r>
      <w:r w:rsidR="004F0E0D" w:rsidRPr="004F0E0D">
        <w:rPr>
          <w:rFonts w:eastAsia="MS Mincho"/>
          <w:sz w:val="24"/>
          <w:szCs w:val="24"/>
          <w:lang w:val="es-EC"/>
        </w:rPr>
        <w:t>. Para estimar el grado de preparación de la población se realizó una encuesta de selección múltiple, en la cual se preguntó a las personas si tenían conocimiento que el lugar donde se encontraban es zona de peligro por lahares, si habían participado en simulacros de evacuación por el lahar del Cotopaxi en el pasado, si conocían las rutas de evacuación y las zonas seguras, además, se preguntó qué tiempo consideraban como óptimo para evacuar el área en caso de emergencia y cuán probable creían experimentar una erupción del volcán Cotopaxi en el transcurso de su vida, la encuesta fue aplicada a una muestra de 352 personas con</w:t>
      </w:r>
      <w:r w:rsidR="00BB30AC">
        <w:rPr>
          <w:rFonts w:eastAsia="MS Mincho"/>
          <w:sz w:val="24"/>
          <w:szCs w:val="24"/>
          <w:lang w:val="es-EC"/>
        </w:rPr>
        <w:t xml:space="preserve"> un nivel de confianza del 95%</w:t>
      </w:r>
      <w:r w:rsidR="004F0E0D" w:rsidRPr="004F0E0D">
        <w:rPr>
          <w:rFonts w:eastAsia="MS Mincho"/>
          <w:sz w:val="24"/>
          <w:szCs w:val="24"/>
          <w:lang w:val="es-EC"/>
        </w:rPr>
        <w:t xml:space="preserve"> y una población conocida de 4177 habitantes en las zonas 1 y 2. La encuesta fue realizada con ayuda de la aplicación móvil “ODK Collect” </w:t>
      </w:r>
      <w:r w:rsidR="008224E5">
        <w:rPr>
          <w:rFonts w:eastAsia="MS Mincho"/>
          <w:sz w:val="24"/>
          <w:szCs w:val="24"/>
          <w:lang w:val="es-EC"/>
        </w:rPr>
        <w:t>y</w:t>
      </w:r>
      <w:r w:rsidR="004F0E0D" w:rsidRPr="004F0E0D">
        <w:rPr>
          <w:rFonts w:eastAsia="MS Mincho"/>
          <w:sz w:val="24"/>
          <w:szCs w:val="24"/>
          <w:lang w:val="es-EC"/>
        </w:rPr>
        <w:t xml:space="preserve"> mostró que el 68,10 % de la población que habita en las zonas 1 y 2 estaría preparada o tiene conocimientos básicos de qué hacer en el caso de una emergencia, mientras el 31,90% no se encuentra preparada, el número estimado de muertes fue calculado para cada zona de valoración</w:t>
      </w:r>
      <w:r w:rsidR="008224E5">
        <w:rPr>
          <w:rFonts w:eastAsia="MS Mincho"/>
          <w:sz w:val="24"/>
          <w:szCs w:val="24"/>
          <w:lang w:val="es-EC"/>
        </w:rPr>
        <w:t xml:space="preserve"> en base a los porcentajes obtenidos</w:t>
      </w:r>
      <w:r>
        <w:rPr>
          <w:rFonts w:eastAsia="MS Mincho"/>
          <w:sz w:val="24"/>
          <w:szCs w:val="24"/>
          <w:lang w:val="es-EC"/>
        </w:rPr>
        <w:t>.</w:t>
      </w:r>
    </w:p>
    <w:p w:rsidR="00BB30AC" w:rsidRDefault="00BB30AC" w:rsidP="00BB30AC">
      <w:pPr>
        <w:pStyle w:val="Textoindependiente"/>
        <w:ind w:firstLine="567"/>
        <w:contextualSpacing/>
        <w:jc w:val="both"/>
        <w:rPr>
          <w:rFonts w:eastAsia="MS Mincho"/>
          <w:sz w:val="24"/>
          <w:szCs w:val="24"/>
          <w:lang w:val="es-EC"/>
        </w:rPr>
      </w:pPr>
      <w:r w:rsidRPr="0040059B">
        <w:rPr>
          <w:rFonts w:eastAsia="MS Mincho"/>
          <w:sz w:val="24"/>
          <w:szCs w:val="24"/>
          <w:lang w:val="es-EC"/>
        </w:rPr>
        <w:t xml:space="preserve">Para el cálculo de las pérdidas económicas se siguió la </w:t>
      </w:r>
      <w:r w:rsidR="00122699">
        <w:rPr>
          <w:rFonts w:eastAsia="MS Mincho"/>
          <w:sz w:val="24"/>
          <w:szCs w:val="24"/>
          <w:lang w:val="es-EC"/>
        </w:rPr>
        <w:t>ecuación (1</w:t>
      </w:r>
      <w:r w:rsidRPr="0040059B">
        <w:rPr>
          <w:rFonts w:eastAsia="MS Mincho"/>
          <w:sz w:val="24"/>
          <w:szCs w:val="24"/>
          <w:lang w:val="es-EC"/>
        </w:rPr>
        <w:t xml:space="preserve">), en lugar del PIB se </w:t>
      </w:r>
      <w:r w:rsidR="00122699">
        <w:rPr>
          <w:rFonts w:eastAsia="MS Mincho"/>
          <w:sz w:val="24"/>
          <w:szCs w:val="24"/>
          <w:lang w:val="es-EC"/>
        </w:rPr>
        <w:t>utilizó</w:t>
      </w:r>
      <w:r w:rsidRPr="0040059B">
        <w:rPr>
          <w:rFonts w:eastAsia="MS Mincho"/>
          <w:sz w:val="24"/>
          <w:szCs w:val="24"/>
          <w:lang w:val="es-EC"/>
        </w:rPr>
        <w:t xml:space="preserve"> el VAB (Valor Agregado Bruto), el cual equivale a los valores de bienes y servicios generados en una región, y es un valor representativo similar al PIB. </w:t>
      </w:r>
    </w:p>
    <w:p w:rsidR="00882551" w:rsidRPr="00BB30AC" w:rsidRDefault="00882551" w:rsidP="00BB30AC">
      <w:pPr>
        <w:pStyle w:val="Textoindependiente"/>
        <w:ind w:firstLine="567"/>
        <w:contextualSpacing/>
        <w:jc w:val="both"/>
        <w:rPr>
          <w:rFonts w:eastAsia="MS Mincho"/>
          <w:sz w:val="24"/>
          <w:szCs w:val="24"/>
          <w:lang w:val="es-EC"/>
        </w:rPr>
      </w:pPr>
    </w:p>
    <w:p w:rsidR="00BB30AC" w:rsidRDefault="00BB30AC" w:rsidP="00BB30AC">
      <w:pPr>
        <w:rPr>
          <w:sz w:val="24"/>
          <w:szCs w:val="24"/>
        </w:rPr>
      </w:pPr>
      <m:oMathPara>
        <m:oMathParaPr>
          <m:jc m:val="right"/>
        </m:oMathParaPr>
        <m:oMath>
          <m:r>
            <w:rPr>
              <w:rFonts w:ascii="Cambria Math" w:hAnsi="Cambria Math"/>
              <w:sz w:val="24"/>
              <w:szCs w:val="24"/>
            </w:rPr>
            <m:t>PIBk</m:t>
          </m:r>
          <m:r>
            <m:rPr>
              <m:sty m:val="p"/>
            </m:rPr>
            <w:rPr>
              <w:rFonts w:ascii="Cambria Math" w:hAnsi="Cambria Math"/>
              <w:sz w:val="24"/>
              <w:szCs w:val="24"/>
            </w:rPr>
            <m:t>=</m:t>
          </m:r>
          <m:f>
            <m:fPr>
              <m:ctrlPr>
                <w:rPr>
                  <w:rFonts w:ascii="Cambria Math" w:hAnsi="Cambria Math"/>
                  <w:sz w:val="24"/>
                  <w:szCs w:val="24"/>
                </w:rPr>
              </m:ctrlPr>
            </m:fPr>
            <m:num>
              <m:r>
                <w:rPr>
                  <w:rFonts w:ascii="Cambria Math" w:hAnsi="Cambria Math"/>
                  <w:sz w:val="24"/>
                  <w:szCs w:val="24"/>
                </w:rPr>
                <m:t>SU</m:t>
              </m:r>
              <m:r>
                <m:rPr>
                  <m:sty m:val="p"/>
                </m:rPr>
                <w:rPr>
                  <w:rFonts w:ascii="Cambria Math" w:hAnsi="Cambria Math"/>
                  <w:sz w:val="24"/>
                  <w:szCs w:val="24"/>
                </w:rPr>
                <m:t>*</m:t>
              </m:r>
              <m:r>
                <w:rPr>
                  <w:rFonts w:ascii="Cambria Math" w:hAnsi="Cambria Math"/>
                  <w:sz w:val="24"/>
                  <w:szCs w:val="24"/>
                </w:rPr>
                <m:t>CSU</m:t>
              </m:r>
              <m:r>
                <m:rPr>
                  <m:sty m:val="p"/>
                </m:rPr>
                <w:rPr>
                  <w:rFonts w:ascii="Cambria Math" w:hAnsi="Cambria Math"/>
                  <w:sz w:val="24"/>
                  <w:szCs w:val="24"/>
                </w:rPr>
                <m:t>+</m:t>
              </m:r>
              <m:r>
                <w:rPr>
                  <w:rFonts w:ascii="Cambria Math" w:hAnsi="Cambria Math"/>
                  <w:sz w:val="24"/>
                  <w:szCs w:val="24"/>
                </w:rPr>
                <m:t>CU</m:t>
              </m:r>
              <m:r>
                <m:rPr>
                  <m:sty m:val="p"/>
                </m:rPr>
                <w:rPr>
                  <w:rFonts w:ascii="Cambria Math" w:hAnsi="Cambria Math"/>
                  <w:sz w:val="24"/>
                  <w:szCs w:val="24"/>
                </w:rPr>
                <m:t>*</m:t>
              </m:r>
              <m:r>
                <w:rPr>
                  <w:rFonts w:ascii="Cambria Math" w:hAnsi="Cambria Math"/>
                  <w:sz w:val="24"/>
                  <w:szCs w:val="24"/>
                </w:rPr>
                <m:t>CCU</m:t>
              </m:r>
              <m:r>
                <m:rPr>
                  <m:sty m:val="p"/>
                </m:rPr>
                <w:rPr>
                  <w:rFonts w:ascii="Cambria Math" w:hAnsi="Cambria Math"/>
                  <w:sz w:val="24"/>
                  <w:szCs w:val="24"/>
                </w:rPr>
                <m:t>+</m:t>
              </m:r>
              <m:r>
                <w:rPr>
                  <w:rFonts w:ascii="Cambria Math" w:hAnsi="Cambria Math"/>
                  <w:sz w:val="24"/>
                  <w:szCs w:val="24"/>
                </w:rPr>
                <m:t>EM</m:t>
              </m:r>
              <m:r>
                <m:rPr>
                  <m:sty m:val="p"/>
                </m:rPr>
                <w:rPr>
                  <w:rFonts w:ascii="Cambria Math" w:hAnsi="Cambria Math"/>
                  <w:sz w:val="24"/>
                  <w:szCs w:val="24"/>
                </w:rPr>
                <m:t>*</m:t>
              </m:r>
              <m:r>
                <w:rPr>
                  <w:rFonts w:ascii="Cambria Math" w:hAnsi="Cambria Math"/>
                  <w:sz w:val="24"/>
                  <w:szCs w:val="24"/>
                </w:rPr>
                <m:t>ECM</m:t>
              </m:r>
            </m:num>
            <m:den>
              <m:r>
                <w:rPr>
                  <w:rFonts w:ascii="Cambria Math" w:hAnsi="Cambria Math"/>
                  <w:sz w:val="24"/>
                  <w:szCs w:val="24"/>
                </w:rPr>
                <m:t>PIBc</m:t>
              </m:r>
            </m:den>
          </m:f>
          <m:r>
            <m:rPr>
              <m:sty m:val="p"/>
            </m:rPr>
            <w:rPr>
              <w:rFonts w:ascii="Cambria Math" w:hAnsi="Cambria Math"/>
              <w:sz w:val="24"/>
              <w:szCs w:val="24"/>
            </w:rPr>
            <m:t xml:space="preserve">                                           (1)</m:t>
          </m:r>
        </m:oMath>
      </m:oMathPara>
    </w:p>
    <w:p w:rsidR="003B715C" w:rsidRDefault="003B715C" w:rsidP="00BB30AC">
      <w:pPr>
        <w:pStyle w:val="Textoindependiente"/>
        <w:ind w:firstLine="567"/>
        <w:contextualSpacing/>
        <w:jc w:val="both"/>
        <w:rPr>
          <w:rFonts w:eastAsia="MS Mincho"/>
          <w:sz w:val="24"/>
          <w:szCs w:val="24"/>
          <w:lang w:val="es-EC"/>
        </w:rPr>
      </w:pPr>
    </w:p>
    <w:p w:rsidR="002831F0" w:rsidRDefault="002831F0" w:rsidP="00BB30AC">
      <w:pPr>
        <w:pStyle w:val="Textoindependiente"/>
        <w:ind w:firstLine="567"/>
        <w:contextualSpacing/>
        <w:jc w:val="both"/>
        <w:rPr>
          <w:rFonts w:eastAsia="MS Mincho"/>
          <w:sz w:val="24"/>
          <w:szCs w:val="24"/>
          <w:lang w:val="es-EC"/>
        </w:rPr>
      </w:pP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lastRenderedPageBreak/>
        <w:t>Donde:</w:t>
      </w:r>
    </w:p>
    <w:p w:rsidR="003B715C" w:rsidRDefault="003B715C" w:rsidP="00BB30AC">
      <w:pPr>
        <w:pStyle w:val="Textoindependiente"/>
        <w:ind w:firstLine="567"/>
        <w:contextualSpacing/>
        <w:jc w:val="both"/>
        <w:rPr>
          <w:rFonts w:eastAsia="MS Mincho"/>
          <w:sz w:val="24"/>
          <w:szCs w:val="24"/>
          <w:lang w:val="es-EC"/>
        </w:rPr>
      </w:pP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SU= Suelo urbano afectado [m</w:t>
      </w:r>
      <w:r w:rsidR="00122699">
        <w:rPr>
          <w:rFonts w:eastAsia="MS Mincho"/>
          <w:sz w:val="24"/>
          <w:szCs w:val="24"/>
          <w:vertAlign w:val="superscript"/>
          <w:lang w:val="es-EC"/>
        </w:rPr>
        <w:t>2</w:t>
      </w:r>
      <w:r w:rsidRPr="00BB30AC">
        <w:rPr>
          <w:rFonts w:eastAsia="MS Mincho"/>
          <w:sz w:val="24"/>
          <w:szCs w:val="24"/>
          <w:lang w:val="es-EC"/>
        </w:rPr>
        <w:t>]</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C</w:t>
      </w:r>
      <w:r w:rsidR="00122699">
        <w:rPr>
          <w:rFonts w:eastAsia="MS Mincho"/>
          <w:sz w:val="24"/>
          <w:szCs w:val="24"/>
          <w:lang w:val="es-EC"/>
        </w:rPr>
        <w:t>SU= Costo del suelo urbano [$/m</w:t>
      </w:r>
      <w:r w:rsidR="00122699">
        <w:rPr>
          <w:rFonts w:eastAsia="MS Mincho"/>
          <w:sz w:val="24"/>
          <w:szCs w:val="24"/>
          <w:vertAlign w:val="superscript"/>
          <w:lang w:val="es-EC"/>
        </w:rPr>
        <w:t>2</w:t>
      </w:r>
      <w:r w:rsidRPr="00BB30AC">
        <w:rPr>
          <w:rFonts w:eastAsia="MS Mincho"/>
          <w:sz w:val="24"/>
          <w:szCs w:val="24"/>
          <w:lang w:val="es-EC"/>
        </w:rPr>
        <w:t>]</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CU= Construcciones urbanas afectadas [m</w:t>
      </w:r>
      <w:r w:rsidR="00122699">
        <w:rPr>
          <w:rFonts w:eastAsia="MS Mincho"/>
          <w:sz w:val="24"/>
          <w:szCs w:val="24"/>
          <w:vertAlign w:val="superscript"/>
          <w:lang w:val="es-EC"/>
        </w:rPr>
        <w:t>2</w:t>
      </w:r>
      <w:r w:rsidRPr="00BB30AC">
        <w:rPr>
          <w:rFonts w:eastAsia="MS Mincho"/>
          <w:sz w:val="24"/>
          <w:szCs w:val="24"/>
          <w:lang w:val="es-EC"/>
        </w:rPr>
        <w:t>]</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 xml:space="preserve">CCU= Costo construcciones urbanas </w:t>
      </w:r>
      <w:r w:rsidR="00122699">
        <w:rPr>
          <w:rFonts w:eastAsia="MS Mincho"/>
          <w:sz w:val="24"/>
          <w:szCs w:val="24"/>
          <w:lang w:val="es-EC"/>
        </w:rPr>
        <w:t>[$/m</w:t>
      </w:r>
      <w:r w:rsidR="00122699">
        <w:rPr>
          <w:rFonts w:eastAsia="MS Mincho"/>
          <w:sz w:val="24"/>
          <w:szCs w:val="24"/>
          <w:vertAlign w:val="superscript"/>
          <w:lang w:val="es-EC"/>
        </w:rPr>
        <w:t>2</w:t>
      </w:r>
      <w:r w:rsidR="00122699" w:rsidRPr="00BB30AC">
        <w:rPr>
          <w:rFonts w:eastAsia="MS Mincho"/>
          <w:sz w:val="24"/>
          <w:szCs w:val="24"/>
          <w:lang w:val="es-EC"/>
        </w:rPr>
        <w:t>]</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EM= Estimación de muertes [individuos]</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ECM = Estimación de costo por muerte [$/individuos]</w:t>
      </w:r>
    </w:p>
    <w:p w:rsidR="00BB30AC" w:rsidRP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PIBc = Valor Agregado Bruto cantonal [$]</w:t>
      </w:r>
    </w:p>
    <w:p w:rsidR="00BB30AC" w:rsidRDefault="00BB30AC" w:rsidP="00BB30AC">
      <w:pPr>
        <w:pStyle w:val="Textoindependiente"/>
        <w:ind w:firstLine="567"/>
        <w:contextualSpacing/>
        <w:jc w:val="both"/>
        <w:rPr>
          <w:rFonts w:eastAsia="MS Mincho"/>
          <w:sz w:val="24"/>
          <w:szCs w:val="24"/>
          <w:lang w:val="es-EC"/>
        </w:rPr>
      </w:pPr>
      <w:r w:rsidRPr="00BB30AC">
        <w:rPr>
          <w:rFonts w:eastAsia="MS Mincho"/>
          <w:sz w:val="24"/>
          <w:szCs w:val="24"/>
          <w:lang w:val="es-EC"/>
        </w:rPr>
        <w:t>PIBk = Valor Agregado Bruto comprometido [$]</w:t>
      </w:r>
    </w:p>
    <w:p w:rsidR="003B715C" w:rsidRDefault="003B715C" w:rsidP="00BB30AC">
      <w:pPr>
        <w:pStyle w:val="Textoindependiente"/>
        <w:ind w:firstLine="567"/>
        <w:contextualSpacing/>
        <w:jc w:val="both"/>
        <w:rPr>
          <w:rFonts w:eastAsia="MS Mincho"/>
          <w:sz w:val="24"/>
          <w:szCs w:val="24"/>
          <w:lang w:val="es-EC"/>
        </w:rPr>
      </w:pPr>
    </w:p>
    <w:p w:rsidR="00BB30AC" w:rsidRPr="003349A4" w:rsidRDefault="00BB30AC" w:rsidP="003349A4">
      <w:pPr>
        <w:pStyle w:val="Textoindependiente"/>
        <w:ind w:firstLine="567"/>
        <w:contextualSpacing/>
        <w:jc w:val="both"/>
        <w:rPr>
          <w:sz w:val="24"/>
          <w:szCs w:val="24"/>
          <w:lang w:val="es-EC"/>
        </w:rPr>
      </w:pPr>
      <w:r w:rsidRPr="00BB30AC">
        <w:rPr>
          <w:rFonts w:eastAsia="MS Mincho"/>
          <w:sz w:val="24"/>
          <w:szCs w:val="24"/>
          <w:lang w:val="es-EC"/>
        </w:rPr>
        <w:t xml:space="preserve">Los valores </w:t>
      </w:r>
      <w:r w:rsidR="00122699">
        <w:rPr>
          <w:rFonts w:eastAsia="MS Mincho"/>
          <w:sz w:val="24"/>
          <w:szCs w:val="24"/>
          <w:lang w:val="es-EC"/>
        </w:rPr>
        <w:t>usados de costo</w:t>
      </w:r>
      <w:r w:rsidRPr="00BB30AC">
        <w:rPr>
          <w:rFonts w:eastAsia="MS Mincho"/>
          <w:sz w:val="24"/>
          <w:szCs w:val="24"/>
          <w:lang w:val="es-EC"/>
        </w:rPr>
        <w:t xml:space="preserve"> de</w:t>
      </w:r>
      <w:r w:rsidR="00122699">
        <w:rPr>
          <w:rFonts w:eastAsia="MS Mincho"/>
          <w:sz w:val="24"/>
          <w:szCs w:val="24"/>
          <w:lang w:val="es-EC"/>
        </w:rPr>
        <w:t>l</w:t>
      </w:r>
      <w:r w:rsidRPr="00BB30AC">
        <w:rPr>
          <w:rFonts w:eastAsia="MS Mincho"/>
          <w:sz w:val="24"/>
          <w:szCs w:val="24"/>
          <w:lang w:val="es-EC"/>
        </w:rPr>
        <w:t xml:space="preserve"> suelo y de construcción fueron tomados del estudio “Economic risk assessment of Cotopaxi volcano, Ecuador, in case of a future lahar emplacement” realizado </w:t>
      </w:r>
      <w:r w:rsidRPr="003349A4">
        <w:rPr>
          <w:rFonts w:eastAsia="MS Mincho"/>
          <w:sz w:val="24"/>
          <w:szCs w:val="24"/>
          <w:lang w:val="es-EC"/>
        </w:rPr>
        <w:t xml:space="preserve">por </w:t>
      </w:r>
      <w:r w:rsidR="003349A4" w:rsidRPr="003349A4">
        <w:rPr>
          <w:rFonts w:eastAsia="MS Mincho"/>
          <w:sz w:val="24"/>
          <w:szCs w:val="24"/>
          <w:lang w:val="es-EC"/>
        </w:rPr>
        <w:t xml:space="preserve">Rodríguez, </w:t>
      </w:r>
      <w:r w:rsidR="003E6FF0">
        <w:rPr>
          <w:rFonts w:eastAsia="MS Mincho"/>
          <w:sz w:val="24"/>
          <w:szCs w:val="24"/>
          <w:lang w:val="es-EC"/>
        </w:rPr>
        <w:t xml:space="preserve">et al. </w:t>
      </w:r>
      <w:sdt>
        <w:sdtPr>
          <w:rPr>
            <w:sz w:val="24"/>
            <w:szCs w:val="24"/>
            <w:lang w:val="en-US"/>
          </w:rPr>
          <w:id w:val="1573306197"/>
          <w:citation/>
        </w:sdtPr>
        <w:sdtEndPr/>
        <w:sdtContent>
          <w:r w:rsidR="003349A4" w:rsidRPr="003349A4">
            <w:rPr>
              <w:sz w:val="24"/>
              <w:szCs w:val="24"/>
              <w:lang w:val="en-US"/>
            </w:rPr>
            <w:fldChar w:fldCharType="begin"/>
          </w:r>
          <w:r w:rsidR="003349A4" w:rsidRPr="003349A4">
            <w:rPr>
              <w:sz w:val="24"/>
              <w:szCs w:val="24"/>
              <w:lang w:val="es-EC"/>
            </w:rPr>
            <w:instrText xml:space="preserve">CITATION Rod16 \n  \t  \l 1033 </w:instrText>
          </w:r>
          <w:r w:rsidR="003349A4" w:rsidRPr="003349A4">
            <w:rPr>
              <w:sz w:val="24"/>
              <w:szCs w:val="24"/>
              <w:lang w:val="en-US"/>
            </w:rPr>
            <w:fldChar w:fldCharType="separate"/>
          </w:r>
          <w:r w:rsidR="007E60DF" w:rsidRPr="007E60DF">
            <w:rPr>
              <w:noProof/>
              <w:sz w:val="24"/>
              <w:szCs w:val="24"/>
              <w:lang w:val="es-EC"/>
            </w:rPr>
            <w:t>(2016)</w:t>
          </w:r>
          <w:r w:rsidR="003349A4" w:rsidRPr="003349A4">
            <w:rPr>
              <w:sz w:val="24"/>
              <w:szCs w:val="24"/>
              <w:lang w:val="en-US"/>
            </w:rPr>
            <w:fldChar w:fldCharType="end"/>
          </w:r>
        </w:sdtContent>
      </w:sdt>
      <w:r w:rsidRPr="003349A4">
        <w:rPr>
          <w:rFonts w:eastAsia="MS Mincho"/>
          <w:sz w:val="24"/>
          <w:szCs w:val="24"/>
          <w:lang w:val="es-EC"/>
        </w:rPr>
        <w:t>, donde</w:t>
      </w:r>
      <w:r w:rsidRPr="00BB30AC">
        <w:rPr>
          <w:rFonts w:eastAsia="MS Mincho"/>
          <w:sz w:val="24"/>
          <w:szCs w:val="24"/>
          <w:lang w:val="es-EC"/>
        </w:rPr>
        <w:t xml:space="preserve"> se establecieron los valores de $250 por m</w:t>
      </w:r>
      <w:r w:rsidR="00444165">
        <w:rPr>
          <w:rFonts w:eastAsia="MS Mincho"/>
          <w:sz w:val="24"/>
          <w:szCs w:val="24"/>
          <w:vertAlign w:val="superscript"/>
          <w:lang w:val="es-EC"/>
        </w:rPr>
        <w:t>2</w:t>
      </w:r>
      <w:r w:rsidRPr="00BB30AC">
        <w:rPr>
          <w:rFonts w:eastAsia="MS Mincho"/>
          <w:sz w:val="24"/>
          <w:szCs w:val="24"/>
          <w:lang w:val="es-EC"/>
        </w:rPr>
        <w:t xml:space="preserve"> de suelo urbano y 500 por m</w:t>
      </w:r>
      <w:r w:rsidR="00444165">
        <w:rPr>
          <w:rFonts w:eastAsia="MS Mincho"/>
          <w:sz w:val="24"/>
          <w:szCs w:val="24"/>
          <w:vertAlign w:val="superscript"/>
          <w:lang w:val="es-EC"/>
        </w:rPr>
        <w:t>2</w:t>
      </w:r>
      <w:r w:rsidR="00122699">
        <w:rPr>
          <w:rFonts w:eastAsia="MS Mincho"/>
          <w:sz w:val="24"/>
          <w:szCs w:val="24"/>
          <w:lang w:val="es-EC"/>
        </w:rPr>
        <w:t xml:space="preserve"> de construcción urbana para</w:t>
      </w:r>
      <w:r w:rsidRPr="00BB30AC">
        <w:rPr>
          <w:rFonts w:eastAsia="MS Mincho"/>
          <w:sz w:val="24"/>
          <w:szCs w:val="24"/>
          <w:lang w:val="es-EC"/>
        </w:rPr>
        <w:t xml:space="preserve"> el valle de Los Chillos. Los valores para los VAB cantonales, que equivalen a los valores de bienes y servicios generados en cada cantón, fueron obtenidos de los valores agregados brutos cantonales provisionales dados por el Banco Central del Ecuador para el año 2017. La estimación de costo por muerte (ECM) fue calculada de acuerdo a </w:t>
      </w:r>
      <w:r w:rsidR="00122699">
        <w:rPr>
          <w:rFonts w:eastAsia="MS Mincho"/>
          <w:sz w:val="24"/>
          <w:szCs w:val="24"/>
          <w:lang w:val="es-EC"/>
        </w:rPr>
        <w:t>los años</w:t>
      </w:r>
      <w:r w:rsidRPr="00BB30AC">
        <w:rPr>
          <w:rFonts w:eastAsia="MS Mincho"/>
          <w:sz w:val="24"/>
          <w:szCs w:val="24"/>
          <w:lang w:val="es-EC"/>
        </w:rPr>
        <w:t xml:space="preserve"> de vida como personas económicamente activas</w:t>
      </w:r>
      <w:r w:rsidR="00122699">
        <w:rPr>
          <w:rFonts w:eastAsia="MS Mincho"/>
          <w:sz w:val="24"/>
          <w:szCs w:val="24"/>
          <w:lang w:val="es-EC"/>
        </w:rPr>
        <w:t xml:space="preserve"> que se perderían por muerte, 31 años</w:t>
      </w:r>
      <w:r w:rsidR="00122699" w:rsidRPr="00122699">
        <w:rPr>
          <w:rFonts w:eastAsia="MS Mincho"/>
          <w:sz w:val="24"/>
          <w:szCs w:val="24"/>
          <w:lang w:val="es-EC"/>
        </w:rPr>
        <w:t>; y</w:t>
      </w:r>
      <w:r w:rsidR="00122699">
        <w:rPr>
          <w:rFonts w:eastAsia="MS Mincho"/>
          <w:sz w:val="24"/>
          <w:szCs w:val="24"/>
          <w:lang w:val="es-EC"/>
        </w:rPr>
        <w:t xml:space="preserve"> </w:t>
      </w:r>
      <w:r w:rsidRPr="00BB30AC">
        <w:rPr>
          <w:rFonts w:eastAsia="MS Mincho"/>
          <w:sz w:val="24"/>
          <w:szCs w:val="24"/>
          <w:lang w:val="es-EC"/>
        </w:rPr>
        <w:t>el VABpi (Valor agregado bruto por habitante)</w:t>
      </w:r>
      <w:r w:rsidR="00122699">
        <w:rPr>
          <w:rFonts w:eastAsia="MS Mincho"/>
          <w:sz w:val="24"/>
          <w:szCs w:val="24"/>
          <w:lang w:val="es-EC"/>
        </w:rPr>
        <w:t>, la Tabla 2</w:t>
      </w:r>
      <w:r w:rsidRPr="00BB30AC">
        <w:rPr>
          <w:rFonts w:eastAsia="MS Mincho"/>
          <w:sz w:val="24"/>
          <w:szCs w:val="24"/>
          <w:lang w:val="es-EC"/>
        </w:rPr>
        <w:t xml:space="preserve"> muestra el ECM para cada cantón.</w:t>
      </w:r>
    </w:p>
    <w:p w:rsidR="00CA3BD8" w:rsidRDefault="00CA3BD8" w:rsidP="00CA3BD8">
      <w:pPr>
        <w:pStyle w:val="Textoindependiente"/>
        <w:ind w:firstLine="567"/>
        <w:contextualSpacing/>
        <w:jc w:val="both"/>
        <w:rPr>
          <w:rFonts w:eastAsia="MS Mincho"/>
          <w:sz w:val="24"/>
          <w:szCs w:val="24"/>
          <w:lang w:val="es-EC"/>
        </w:rPr>
      </w:pPr>
      <w:bookmarkStart w:id="7" w:name="_Toc8000832"/>
    </w:p>
    <w:p w:rsidR="00BB30AC" w:rsidRPr="00464981" w:rsidRDefault="00BB30AC" w:rsidP="00464981">
      <w:pPr>
        <w:pStyle w:val="Textoindependiente"/>
        <w:ind w:firstLine="567"/>
        <w:contextualSpacing/>
        <w:jc w:val="center"/>
        <w:rPr>
          <w:rFonts w:eastAsia="MS Mincho"/>
          <w:sz w:val="22"/>
          <w:szCs w:val="22"/>
          <w:lang w:val="es-EC"/>
        </w:rPr>
      </w:pPr>
      <w:r w:rsidRPr="00464981">
        <w:rPr>
          <w:rFonts w:eastAsia="MS Mincho"/>
          <w:sz w:val="22"/>
          <w:szCs w:val="22"/>
          <w:lang w:val="es-EC"/>
        </w:rPr>
        <w:t xml:space="preserve">Tabla </w:t>
      </w:r>
      <w:bookmarkStart w:id="8" w:name="_Toc8000833"/>
      <w:bookmarkEnd w:id="7"/>
      <w:r w:rsidR="00122699">
        <w:rPr>
          <w:rFonts w:eastAsia="MS Mincho"/>
          <w:sz w:val="22"/>
          <w:szCs w:val="22"/>
          <w:lang w:val="es-EC"/>
        </w:rPr>
        <w:t>2.</w:t>
      </w:r>
      <w:r w:rsidR="00CA3BD8" w:rsidRPr="00464981">
        <w:rPr>
          <w:rFonts w:eastAsia="MS Mincho"/>
          <w:sz w:val="22"/>
          <w:szCs w:val="22"/>
          <w:lang w:val="es-EC"/>
        </w:rPr>
        <w:t xml:space="preserve"> </w:t>
      </w:r>
      <w:r w:rsidRPr="00464981">
        <w:rPr>
          <w:rFonts w:eastAsia="MS Mincho"/>
          <w:sz w:val="22"/>
          <w:szCs w:val="22"/>
          <w:lang w:val="es-EC"/>
        </w:rPr>
        <w:t>Estimación costo económico por muerte (ECM)</w:t>
      </w:r>
      <w:bookmarkEnd w:id="8"/>
    </w:p>
    <w:tbl>
      <w:tblPr>
        <w:tblStyle w:val="Tablanormal21"/>
        <w:tblW w:w="7203" w:type="dxa"/>
        <w:jc w:val="center"/>
        <w:tblLook w:val="04A0" w:firstRow="1" w:lastRow="0" w:firstColumn="1" w:lastColumn="0" w:noHBand="0" w:noVBand="1"/>
      </w:tblPr>
      <w:tblGrid>
        <w:gridCol w:w="1194"/>
        <w:gridCol w:w="1366"/>
        <w:gridCol w:w="1641"/>
        <w:gridCol w:w="1378"/>
        <w:gridCol w:w="1624"/>
      </w:tblGrid>
      <w:tr w:rsidR="00BB30AC" w:rsidRPr="00122699" w:rsidTr="002831F0">
        <w:trPr>
          <w:cnfStyle w:val="100000000000" w:firstRow="1" w:lastRow="0" w:firstColumn="0" w:lastColumn="0" w:oddVBand="0" w:evenVBand="0" w:oddHBand="0"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191" w:type="dxa"/>
            <w:tcBorders>
              <w:top w:val="single" w:sz="4" w:space="0" w:color="7F7F7F" w:themeColor="text1" w:themeTint="80"/>
              <w:left w:val="nil"/>
              <w:right w:val="nil"/>
            </w:tcBorders>
            <w:noWrap/>
            <w:vAlign w:val="center"/>
            <w:hideMark/>
          </w:tcPr>
          <w:p w:rsidR="00BB30AC" w:rsidRPr="00882551" w:rsidRDefault="00BB30AC">
            <w:pPr>
              <w:jc w:val="center"/>
              <w:rPr>
                <w:rFonts w:ascii="Times New Roman" w:hAnsi="Times New Roman" w:cs="Times New Roman"/>
                <w:bCs w:val="0"/>
                <w:lang w:val="es-EC"/>
              </w:rPr>
            </w:pPr>
            <w:r w:rsidRPr="00882551">
              <w:rPr>
                <w:rFonts w:ascii="Times New Roman" w:hAnsi="Times New Roman" w:cs="Times New Roman"/>
                <w:bCs w:val="0"/>
                <w:lang w:val="es-EC"/>
              </w:rPr>
              <w:t>Cantón</w:t>
            </w:r>
          </w:p>
        </w:tc>
        <w:tc>
          <w:tcPr>
            <w:tcW w:w="1366" w:type="dxa"/>
            <w:tcBorders>
              <w:top w:val="single" w:sz="4" w:space="0" w:color="7F7F7F" w:themeColor="text1" w:themeTint="80"/>
              <w:left w:val="nil"/>
              <w:right w:val="nil"/>
            </w:tcBorders>
            <w:noWrap/>
            <w:vAlign w:val="center"/>
            <w:hideMark/>
          </w:tcPr>
          <w:p w:rsidR="00BB30AC" w:rsidRPr="00882551" w:rsidRDefault="00BB30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882551">
              <w:rPr>
                <w:rFonts w:ascii="Times New Roman" w:hAnsi="Times New Roman" w:cs="Times New Roman"/>
                <w:bCs w:val="0"/>
                <w:lang w:val="es-EC"/>
              </w:rPr>
              <w:t>Habitantes</w:t>
            </w:r>
          </w:p>
        </w:tc>
        <w:tc>
          <w:tcPr>
            <w:tcW w:w="1641" w:type="dxa"/>
            <w:tcBorders>
              <w:top w:val="single" w:sz="4" w:space="0" w:color="7F7F7F" w:themeColor="text1" w:themeTint="80"/>
              <w:left w:val="nil"/>
              <w:right w:val="nil"/>
            </w:tcBorders>
            <w:noWrap/>
            <w:vAlign w:val="center"/>
            <w:hideMark/>
          </w:tcPr>
          <w:p w:rsidR="00BB30AC" w:rsidRPr="00882551" w:rsidRDefault="00BB30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882551">
              <w:rPr>
                <w:rFonts w:ascii="Times New Roman" w:hAnsi="Times New Roman" w:cs="Times New Roman"/>
                <w:bCs w:val="0"/>
                <w:lang w:val="es-EC"/>
              </w:rPr>
              <w:t>VABc (M.$)</w:t>
            </w:r>
          </w:p>
        </w:tc>
        <w:tc>
          <w:tcPr>
            <w:tcW w:w="1378" w:type="dxa"/>
            <w:tcBorders>
              <w:top w:val="single" w:sz="4" w:space="0" w:color="7F7F7F" w:themeColor="text1" w:themeTint="80"/>
              <w:left w:val="nil"/>
              <w:right w:val="nil"/>
            </w:tcBorders>
            <w:noWrap/>
            <w:vAlign w:val="center"/>
            <w:hideMark/>
          </w:tcPr>
          <w:p w:rsidR="00BB30AC" w:rsidRPr="00882551" w:rsidRDefault="00BB30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882551">
              <w:rPr>
                <w:rFonts w:ascii="Times New Roman" w:hAnsi="Times New Roman" w:cs="Times New Roman"/>
                <w:bCs w:val="0"/>
                <w:lang w:val="es-EC"/>
              </w:rPr>
              <w:t>VABpi ($)</w:t>
            </w:r>
          </w:p>
        </w:tc>
        <w:tc>
          <w:tcPr>
            <w:tcW w:w="1627" w:type="dxa"/>
            <w:tcBorders>
              <w:top w:val="single" w:sz="4" w:space="0" w:color="7F7F7F" w:themeColor="text1" w:themeTint="80"/>
              <w:left w:val="nil"/>
              <w:right w:val="nil"/>
            </w:tcBorders>
            <w:vAlign w:val="center"/>
            <w:hideMark/>
          </w:tcPr>
          <w:p w:rsidR="00BB30AC" w:rsidRPr="00882551" w:rsidRDefault="00BB30AC">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882551">
              <w:rPr>
                <w:rFonts w:ascii="Times New Roman" w:hAnsi="Times New Roman" w:cs="Times New Roman"/>
                <w:bCs w:val="0"/>
                <w:lang w:val="es-EC"/>
              </w:rPr>
              <w:t>ECM ($/individuo)</w:t>
            </w:r>
          </w:p>
        </w:tc>
      </w:tr>
      <w:tr w:rsidR="00BB30AC" w:rsidRPr="00122699" w:rsidTr="002831F0">
        <w:trPr>
          <w:cnfStyle w:val="000000100000" w:firstRow="0" w:lastRow="0" w:firstColumn="0" w:lastColumn="0" w:oddVBand="0" w:evenVBand="0" w:oddHBand="1" w:evenHBand="0" w:firstRowFirstColumn="0" w:firstRowLastColumn="0" w:lastRowFirstColumn="0" w:lastRowLastColumn="0"/>
          <w:trHeight w:val="421"/>
          <w:jc w:val="center"/>
        </w:trPr>
        <w:tc>
          <w:tcPr>
            <w:cnfStyle w:val="001000000000" w:firstRow="0" w:lastRow="0" w:firstColumn="1" w:lastColumn="0" w:oddVBand="0" w:evenVBand="0" w:oddHBand="0" w:evenHBand="0" w:firstRowFirstColumn="0" w:firstRowLastColumn="0" w:lastRowFirstColumn="0" w:lastRowLastColumn="0"/>
            <w:tcW w:w="1191" w:type="dxa"/>
            <w:tcBorders>
              <w:left w:val="nil"/>
              <w:right w:val="nil"/>
            </w:tcBorders>
            <w:noWrap/>
            <w:hideMark/>
          </w:tcPr>
          <w:p w:rsidR="00BB30AC" w:rsidRPr="00882551" w:rsidRDefault="00BB30AC">
            <w:pPr>
              <w:jc w:val="center"/>
              <w:rPr>
                <w:rFonts w:ascii="Times New Roman" w:hAnsi="Times New Roman" w:cs="Times New Roman"/>
                <w:b w:val="0"/>
                <w:bCs w:val="0"/>
                <w:lang w:val="es-EC"/>
              </w:rPr>
            </w:pPr>
            <w:r w:rsidRPr="00882551">
              <w:rPr>
                <w:rFonts w:ascii="Times New Roman" w:hAnsi="Times New Roman" w:cs="Times New Roman"/>
                <w:b w:val="0"/>
                <w:bCs w:val="0"/>
                <w:lang w:val="es-EC"/>
              </w:rPr>
              <w:t>Quito</w:t>
            </w:r>
          </w:p>
        </w:tc>
        <w:tc>
          <w:tcPr>
            <w:tcW w:w="1366" w:type="dxa"/>
            <w:tcBorders>
              <w:left w:val="nil"/>
              <w:right w:val="nil"/>
            </w:tcBorders>
            <w:noWrap/>
            <w:hideMark/>
          </w:tcPr>
          <w:p w:rsidR="00BB30AC" w:rsidRPr="00882551" w:rsidRDefault="00BB30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882551">
              <w:rPr>
                <w:rFonts w:ascii="Times New Roman" w:hAnsi="Times New Roman" w:cs="Times New Roman"/>
                <w:lang w:val="es-EC"/>
              </w:rPr>
              <w:t>2.644.145</w:t>
            </w:r>
          </w:p>
        </w:tc>
        <w:tc>
          <w:tcPr>
            <w:tcW w:w="1641" w:type="dxa"/>
            <w:tcBorders>
              <w:left w:val="nil"/>
              <w:right w:val="nil"/>
            </w:tcBorders>
            <w:noWrap/>
            <w:hideMark/>
          </w:tcPr>
          <w:p w:rsidR="00BB30AC" w:rsidRPr="00882551" w:rsidRDefault="00BB30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882551">
              <w:rPr>
                <w:rFonts w:ascii="Times New Roman" w:hAnsi="Times New Roman" w:cs="Times New Roman"/>
                <w:lang w:val="es-EC"/>
              </w:rPr>
              <w:t>24.426,598</w:t>
            </w:r>
          </w:p>
        </w:tc>
        <w:tc>
          <w:tcPr>
            <w:tcW w:w="1378" w:type="dxa"/>
            <w:tcBorders>
              <w:left w:val="nil"/>
              <w:right w:val="nil"/>
            </w:tcBorders>
            <w:noWrap/>
            <w:hideMark/>
          </w:tcPr>
          <w:p w:rsidR="00BB30AC" w:rsidRPr="00882551" w:rsidRDefault="00BB30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882551">
              <w:rPr>
                <w:rFonts w:ascii="Times New Roman" w:hAnsi="Times New Roman" w:cs="Times New Roman"/>
                <w:lang w:val="es-EC"/>
              </w:rPr>
              <w:t>9.237,99</w:t>
            </w:r>
          </w:p>
        </w:tc>
        <w:tc>
          <w:tcPr>
            <w:tcW w:w="1627" w:type="dxa"/>
            <w:tcBorders>
              <w:left w:val="nil"/>
              <w:right w:val="nil"/>
            </w:tcBorders>
            <w:hideMark/>
          </w:tcPr>
          <w:p w:rsidR="00BB30AC" w:rsidRPr="00882551" w:rsidRDefault="00BB30AC">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882551">
              <w:rPr>
                <w:rFonts w:ascii="Times New Roman" w:hAnsi="Times New Roman" w:cs="Times New Roman"/>
                <w:lang w:val="es-EC"/>
              </w:rPr>
              <w:t>286.377,84</w:t>
            </w:r>
          </w:p>
        </w:tc>
      </w:tr>
      <w:tr w:rsidR="00BB30AC" w:rsidTr="002831F0">
        <w:trPr>
          <w:trHeight w:val="421"/>
          <w:jc w:val="center"/>
        </w:trPr>
        <w:tc>
          <w:tcPr>
            <w:cnfStyle w:val="001000000000" w:firstRow="0" w:lastRow="0" w:firstColumn="1" w:lastColumn="0" w:oddVBand="0" w:evenVBand="0" w:oddHBand="0" w:evenHBand="0" w:firstRowFirstColumn="0" w:firstRowLastColumn="0" w:lastRowFirstColumn="0" w:lastRowLastColumn="0"/>
            <w:tcW w:w="1191" w:type="dxa"/>
            <w:tcBorders>
              <w:top w:val="nil"/>
              <w:left w:val="nil"/>
              <w:bottom w:val="single" w:sz="4" w:space="0" w:color="7F7F7F" w:themeColor="text1" w:themeTint="80"/>
              <w:right w:val="nil"/>
            </w:tcBorders>
            <w:noWrap/>
            <w:hideMark/>
          </w:tcPr>
          <w:p w:rsidR="00BB30AC" w:rsidRPr="00882551" w:rsidRDefault="00BB30AC">
            <w:pPr>
              <w:jc w:val="center"/>
              <w:rPr>
                <w:rFonts w:ascii="Times New Roman" w:hAnsi="Times New Roman" w:cs="Times New Roman"/>
                <w:b w:val="0"/>
                <w:bCs w:val="0"/>
                <w:lang w:val="es-EC"/>
              </w:rPr>
            </w:pPr>
            <w:r w:rsidRPr="00882551">
              <w:rPr>
                <w:rFonts w:ascii="Times New Roman" w:hAnsi="Times New Roman" w:cs="Times New Roman"/>
                <w:b w:val="0"/>
                <w:bCs w:val="0"/>
                <w:lang w:val="es-EC"/>
              </w:rPr>
              <w:t>Rumiñahui</w:t>
            </w:r>
          </w:p>
        </w:tc>
        <w:tc>
          <w:tcPr>
            <w:tcW w:w="1366" w:type="dxa"/>
            <w:tcBorders>
              <w:top w:val="nil"/>
              <w:left w:val="nil"/>
              <w:bottom w:val="single" w:sz="4" w:space="0" w:color="7F7F7F" w:themeColor="text1" w:themeTint="80"/>
              <w:right w:val="nil"/>
            </w:tcBorders>
            <w:noWrap/>
            <w:hideMark/>
          </w:tcPr>
          <w:p w:rsidR="00BB30AC" w:rsidRPr="00882551" w:rsidRDefault="00BB30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882551">
              <w:rPr>
                <w:rFonts w:ascii="Times New Roman" w:hAnsi="Times New Roman" w:cs="Times New Roman"/>
                <w:lang w:val="es-EC"/>
              </w:rPr>
              <w:t>107.043</w:t>
            </w:r>
          </w:p>
        </w:tc>
        <w:tc>
          <w:tcPr>
            <w:tcW w:w="1641" w:type="dxa"/>
            <w:tcBorders>
              <w:top w:val="nil"/>
              <w:left w:val="nil"/>
              <w:bottom w:val="single" w:sz="4" w:space="0" w:color="7F7F7F" w:themeColor="text1" w:themeTint="80"/>
              <w:right w:val="nil"/>
            </w:tcBorders>
            <w:noWrap/>
            <w:hideMark/>
          </w:tcPr>
          <w:p w:rsidR="00BB30AC" w:rsidRPr="00882551" w:rsidRDefault="00BB30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2551">
              <w:rPr>
                <w:rFonts w:ascii="Times New Roman" w:hAnsi="Times New Roman" w:cs="Times New Roman"/>
                <w:lang w:val="es-EC"/>
              </w:rPr>
              <w:t>803</w:t>
            </w:r>
            <w:r w:rsidRPr="00882551">
              <w:rPr>
                <w:rFonts w:ascii="Times New Roman" w:hAnsi="Times New Roman" w:cs="Times New Roman"/>
              </w:rPr>
              <w:t>,979</w:t>
            </w:r>
          </w:p>
        </w:tc>
        <w:tc>
          <w:tcPr>
            <w:tcW w:w="1378" w:type="dxa"/>
            <w:tcBorders>
              <w:top w:val="nil"/>
              <w:left w:val="nil"/>
              <w:bottom w:val="single" w:sz="4" w:space="0" w:color="7F7F7F" w:themeColor="text1" w:themeTint="80"/>
              <w:right w:val="nil"/>
            </w:tcBorders>
            <w:noWrap/>
            <w:hideMark/>
          </w:tcPr>
          <w:p w:rsidR="00BB30AC" w:rsidRPr="00882551" w:rsidRDefault="00BB30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2551">
              <w:rPr>
                <w:rFonts w:ascii="Times New Roman" w:hAnsi="Times New Roman" w:cs="Times New Roman"/>
              </w:rPr>
              <w:t>7.510,80</w:t>
            </w:r>
          </w:p>
        </w:tc>
        <w:tc>
          <w:tcPr>
            <w:tcW w:w="1627" w:type="dxa"/>
            <w:tcBorders>
              <w:top w:val="nil"/>
              <w:left w:val="nil"/>
              <w:bottom w:val="single" w:sz="4" w:space="0" w:color="7F7F7F" w:themeColor="text1" w:themeTint="80"/>
              <w:right w:val="nil"/>
            </w:tcBorders>
            <w:hideMark/>
          </w:tcPr>
          <w:p w:rsidR="00BB30AC" w:rsidRPr="00882551" w:rsidRDefault="00BB30AC">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882551">
              <w:rPr>
                <w:rFonts w:ascii="Times New Roman" w:hAnsi="Times New Roman" w:cs="Times New Roman"/>
              </w:rPr>
              <w:t>232.834,93</w:t>
            </w:r>
          </w:p>
        </w:tc>
      </w:tr>
    </w:tbl>
    <w:p w:rsidR="00BB30AC" w:rsidRDefault="00BB30AC" w:rsidP="00BB30AC">
      <w:pPr>
        <w:jc w:val="both"/>
        <w:rPr>
          <w:sz w:val="24"/>
          <w:szCs w:val="24"/>
        </w:rPr>
      </w:pPr>
    </w:p>
    <w:p w:rsidR="00F55541" w:rsidRPr="0040059B" w:rsidRDefault="00BB30AC" w:rsidP="00A0184D">
      <w:pPr>
        <w:pStyle w:val="Textoindependiente"/>
        <w:ind w:firstLine="567"/>
        <w:contextualSpacing/>
        <w:jc w:val="both"/>
        <w:rPr>
          <w:rFonts w:eastAsia="MS Mincho"/>
          <w:sz w:val="24"/>
          <w:szCs w:val="24"/>
          <w:lang w:val="es-EC"/>
        </w:rPr>
      </w:pPr>
      <w:r w:rsidRPr="0040059B">
        <w:rPr>
          <w:rFonts w:eastAsia="MS Mincho"/>
          <w:sz w:val="24"/>
          <w:szCs w:val="24"/>
          <w:lang w:val="es-EC"/>
        </w:rPr>
        <w:t xml:space="preserve">La probabilidad de ocurrencia se determinó acorde al tipo de actividad y los períodos de descanso identificados en los registros históricos del volcán Cotopaxi de los últimos 2000 años, que indican </w:t>
      </w:r>
      <w:r w:rsidR="00F55541">
        <w:rPr>
          <w:rFonts w:eastAsia="MS Mincho"/>
          <w:sz w:val="24"/>
          <w:szCs w:val="24"/>
          <w:lang w:val="es-EC"/>
        </w:rPr>
        <w:t>como</w:t>
      </w:r>
      <w:r w:rsidRPr="0040059B">
        <w:rPr>
          <w:rFonts w:eastAsia="MS Mincho"/>
          <w:sz w:val="24"/>
          <w:szCs w:val="24"/>
          <w:lang w:val="es-EC"/>
        </w:rPr>
        <w:t xml:space="preserve"> tiempo estimado </w:t>
      </w:r>
      <w:r w:rsidR="00F55541">
        <w:rPr>
          <w:rFonts w:eastAsia="MS Mincho"/>
          <w:sz w:val="24"/>
          <w:szCs w:val="24"/>
          <w:lang w:val="es-EC"/>
        </w:rPr>
        <w:t xml:space="preserve">que ha </w:t>
      </w:r>
      <w:r w:rsidRPr="0040059B">
        <w:rPr>
          <w:rFonts w:eastAsia="MS Mincho"/>
          <w:sz w:val="24"/>
          <w:szCs w:val="24"/>
          <w:lang w:val="es-EC"/>
        </w:rPr>
        <w:t xml:space="preserve">transcurrido entre dos erupciones sucesivas es de 117±70 años, con la consideración de que la última erupción fue en 1877 y que el tiempo de reposo hasta el 2019 ha sido de 142 años, se esperaría una erupción dentro de los siguientes 45 años </w:t>
      </w:r>
      <w:sdt>
        <w:sdtPr>
          <w:rPr>
            <w:rFonts w:eastAsia="MS Mincho"/>
            <w:sz w:val="24"/>
            <w:szCs w:val="24"/>
            <w:lang w:val="es-EC"/>
          </w:rPr>
          <w:id w:val="-1479616009"/>
          <w:citation/>
        </w:sdtPr>
        <w:sdtEndPr/>
        <w:sdtContent>
          <w:r w:rsidRPr="0040059B">
            <w:rPr>
              <w:rFonts w:eastAsia="MS Mincho"/>
              <w:sz w:val="24"/>
              <w:szCs w:val="24"/>
              <w:lang w:val="es-EC"/>
            </w:rPr>
            <w:fldChar w:fldCharType="begin"/>
          </w:r>
          <w:r w:rsidRPr="0040059B">
            <w:rPr>
              <w:rFonts w:eastAsia="MS Mincho"/>
              <w:sz w:val="24"/>
              <w:szCs w:val="24"/>
              <w:lang w:val="es-EC"/>
            </w:rPr>
            <w:instrText xml:space="preserve"> CITATION Agu05 \l 1033 </w:instrText>
          </w:r>
          <w:r w:rsidRPr="0040059B">
            <w:rPr>
              <w:rFonts w:eastAsia="MS Mincho"/>
              <w:sz w:val="24"/>
              <w:szCs w:val="24"/>
              <w:lang w:val="es-EC"/>
            </w:rPr>
            <w:fldChar w:fldCharType="separate"/>
          </w:r>
          <w:r w:rsidR="007E60DF" w:rsidRPr="007E60DF">
            <w:rPr>
              <w:rFonts w:eastAsia="MS Mincho"/>
              <w:noProof/>
              <w:sz w:val="24"/>
              <w:szCs w:val="24"/>
              <w:lang w:val="es-EC"/>
            </w:rPr>
            <w:t>(Aguilera &amp; Toulkeridis, 2005)</w:t>
          </w:r>
          <w:r w:rsidRPr="0040059B">
            <w:rPr>
              <w:rFonts w:eastAsia="MS Mincho"/>
              <w:sz w:val="24"/>
              <w:szCs w:val="24"/>
              <w:lang w:val="es-EC"/>
            </w:rPr>
            <w:fldChar w:fldCharType="end"/>
          </w:r>
        </w:sdtContent>
      </w:sdt>
      <w:r w:rsidRPr="0040059B">
        <w:rPr>
          <w:rFonts w:eastAsia="MS Mincho"/>
          <w:sz w:val="24"/>
          <w:szCs w:val="24"/>
          <w:lang w:val="es-EC"/>
        </w:rPr>
        <w:t xml:space="preserve">. </w:t>
      </w:r>
      <w:r w:rsidR="00F55541">
        <w:rPr>
          <w:rFonts w:eastAsia="MS Mincho"/>
          <w:sz w:val="24"/>
          <w:szCs w:val="24"/>
          <w:lang w:val="es-EC"/>
        </w:rPr>
        <w:t xml:space="preserve">Al esperarse la próxima erupción dentro de un lapso menor a 50 años acorde a la tabla </w:t>
      </w:r>
      <w:r w:rsidR="00F55541" w:rsidRPr="00257AE2">
        <w:rPr>
          <w:sz w:val="24"/>
          <w:szCs w:val="24"/>
          <w:lang w:val="es-EC"/>
        </w:rPr>
        <w:t>de probabilidad de ocurrencia, la probabilidad de una eventual erupción del volcán Cotopaxi corresponde a</w:t>
      </w:r>
      <w:r w:rsidR="00F55541">
        <w:rPr>
          <w:sz w:val="24"/>
          <w:szCs w:val="24"/>
          <w:lang w:val="es-EC"/>
        </w:rPr>
        <w:t xml:space="preserve"> un nivel 5, el más alto, es decir probable.</w:t>
      </w:r>
    </w:p>
    <w:p w:rsidR="00BB30AC" w:rsidRDefault="00BB30AC" w:rsidP="00BB30AC">
      <w:pPr>
        <w:jc w:val="both"/>
        <w:rPr>
          <w:i/>
          <w:iCs/>
          <w:sz w:val="24"/>
          <w:szCs w:val="24"/>
          <w:lang w:val="es-EC"/>
        </w:rPr>
      </w:pPr>
      <w:r w:rsidRPr="00257AE2">
        <w:rPr>
          <w:i/>
          <w:iCs/>
          <w:sz w:val="24"/>
          <w:szCs w:val="24"/>
          <w:lang w:val="es-EC"/>
        </w:rPr>
        <w:t>Evaluación del riesgo desde el ámbito territorial</w:t>
      </w:r>
    </w:p>
    <w:p w:rsidR="00257AE2" w:rsidRPr="00257AE2" w:rsidRDefault="00257AE2" w:rsidP="00BB30AC">
      <w:pPr>
        <w:jc w:val="both"/>
        <w:rPr>
          <w:i/>
          <w:iCs/>
          <w:sz w:val="24"/>
          <w:szCs w:val="24"/>
          <w:lang w:val="es-EC"/>
        </w:rPr>
      </w:pPr>
    </w:p>
    <w:p w:rsidR="00BB30AC" w:rsidRDefault="00BB30AC" w:rsidP="00257AE2">
      <w:pPr>
        <w:pStyle w:val="Textoindependiente"/>
        <w:ind w:firstLine="567"/>
        <w:contextualSpacing/>
        <w:jc w:val="both"/>
        <w:rPr>
          <w:rFonts w:eastAsia="MS Mincho"/>
          <w:sz w:val="24"/>
          <w:szCs w:val="24"/>
          <w:lang w:val="es-EC"/>
        </w:rPr>
      </w:pPr>
      <w:r w:rsidRPr="00257AE2">
        <w:rPr>
          <w:rFonts w:eastAsia="MS Mincho"/>
          <w:sz w:val="24"/>
          <w:szCs w:val="24"/>
          <w:lang w:val="es-EC"/>
        </w:rPr>
        <w:t>Una vez determinadas las consecuencias y la probabilidad de ocurrencia se determinó el nivel de riesgo y el estado de consentimiento p</w:t>
      </w:r>
      <w:r w:rsidR="00F55541">
        <w:rPr>
          <w:rFonts w:eastAsia="MS Mincho"/>
          <w:sz w:val="24"/>
          <w:szCs w:val="24"/>
          <w:lang w:val="es-EC"/>
        </w:rPr>
        <w:t>ara cada una de las zonas</w:t>
      </w:r>
      <w:r w:rsidR="00122699">
        <w:rPr>
          <w:rFonts w:eastAsia="MS Mincho"/>
          <w:sz w:val="24"/>
          <w:szCs w:val="24"/>
          <w:lang w:val="es-EC"/>
        </w:rPr>
        <w:t xml:space="preserve">, </w:t>
      </w:r>
      <w:r w:rsidR="00772555">
        <w:rPr>
          <w:rFonts w:eastAsia="MS Mincho"/>
          <w:sz w:val="24"/>
          <w:szCs w:val="24"/>
          <w:lang w:val="es-EC"/>
        </w:rPr>
        <w:t>mediante el cuadro de</w:t>
      </w:r>
      <w:r w:rsidR="00122699">
        <w:rPr>
          <w:rFonts w:eastAsia="MS Mincho"/>
          <w:sz w:val="24"/>
          <w:szCs w:val="24"/>
          <w:lang w:val="es-EC"/>
        </w:rPr>
        <w:t xml:space="preserve"> la Figura 6</w:t>
      </w:r>
      <w:r w:rsidR="00F55541">
        <w:rPr>
          <w:rFonts w:eastAsia="MS Mincho"/>
          <w:sz w:val="24"/>
          <w:szCs w:val="24"/>
          <w:lang w:val="es-EC"/>
        </w:rPr>
        <w:t>. La</w:t>
      </w:r>
      <w:r w:rsidRPr="00257AE2">
        <w:rPr>
          <w:rFonts w:eastAsia="MS Mincho"/>
          <w:sz w:val="24"/>
          <w:szCs w:val="24"/>
          <w:lang w:val="es-EC"/>
        </w:rPr>
        <w:t xml:space="preserve"> gestión de riesgos </w:t>
      </w:r>
      <w:r w:rsidR="00122699">
        <w:rPr>
          <w:rFonts w:eastAsia="MS Mincho"/>
          <w:sz w:val="24"/>
          <w:szCs w:val="24"/>
          <w:lang w:val="es-EC"/>
        </w:rPr>
        <w:t>es evaluada ante el</w:t>
      </w:r>
      <w:r w:rsidRPr="00257AE2">
        <w:rPr>
          <w:rFonts w:eastAsia="MS Mincho"/>
          <w:sz w:val="24"/>
          <w:szCs w:val="24"/>
          <w:lang w:val="es-EC"/>
        </w:rPr>
        <w:t xml:space="preserve"> escenario posible</w:t>
      </w:r>
      <w:r w:rsidR="00F55541">
        <w:rPr>
          <w:rFonts w:eastAsia="MS Mincho"/>
          <w:sz w:val="24"/>
          <w:szCs w:val="24"/>
          <w:lang w:val="es-EC"/>
        </w:rPr>
        <w:t>,</w:t>
      </w:r>
      <w:r w:rsidRPr="00257AE2">
        <w:rPr>
          <w:rFonts w:eastAsia="MS Mincho"/>
          <w:sz w:val="24"/>
          <w:szCs w:val="24"/>
          <w:lang w:val="es-EC"/>
        </w:rPr>
        <w:t xml:space="preserve"> </w:t>
      </w:r>
      <w:r w:rsidR="00F55541">
        <w:rPr>
          <w:rFonts w:eastAsia="MS Mincho"/>
          <w:sz w:val="24"/>
          <w:szCs w:val="24"/>
          <w:lang w:val="es-EC"/>
        </w:rPr>
        <w:t xml:space="preserve">por lo cual se tomó la consecuencia más catastrófica, es decir con el nivel más alto de </w:t>
      </w:r>
      <w:r w:rsidR="00CA3BD8">
        <w:rPr>
          <w:rFonts w:eastAsia="MS Mincho"/>
          <w:sz w:val="24"/>
          <w:szCs w:val="24"/>
          <w:lang w:val="es-EC"/>
        </w:rPr>
        <w:t>severidad</w:t>
      </w:r>
      <w:r w:rsidR="00F55541">
        <w:rPr>
          <w:rFonts w:eastAsia="MS Mincho"/>
          <w:sz w:val="24"/>
          <w:szCs w:val="24"/>
          <w:lang w:val="es-EC"/>
        </w:rPr>
        <w:t xml:space="preserve"> </w:t>
      </w:r>
      <w:r w:rsidR="00122699">
        <w:rPr>
          <w:rFonts w:eastAsia="MS Mincho"/>
          <w:sz w:val="24"/>
          <w:szCs w:val="24"/>
          <w:lang w:val="es-EC"/>
        </w:rPr>
        <w:t>en</w:t>
      </w:r>
      <w:r w:rsidR="00F55541">
        <w:rPr>
          <w:rFonts w:eastAsia="MS Mincho"/>
          <w:sz w:val="24"/>
          <w:szCs w:val="24"/>
          <w:lang w:val="es-EC"/>
        </w:rPr>
        <w:t xml:space="preserve"> cada una de </w:t>
      </w:r>
      <w:r w:rsidRPr="00257AE2">
        <w:rPr>
          <w:rFonts w:eastAsia="MS Mincho"/>
          <w:sz w:val="24"/>
          <w:szCs w:val="24"/>
          <w:lang w:val="es-EC"/>
        </w:rPr>
        <w:t>las zonas</w:t>
      </w:r>
      <w:r w:rsidR="00CA3BD8">
        <w:rPr>
          <w:rFonts w:eastAsia="MS Mincho"/>
          <w:sz w:val="24"/>
          <w:szCs w:val="24"/>
          <w:lang w:val="es-EC"/>
        </w:rPr>
        <w:t>; mientras</w:t>
      </w:r>
      <w:r w:rsidRPr="00257AE2">
        <w:rPr>
          <w:rFonts w:eastAsia="MS Mincho"/>
          <w:sz w:val="24"/>
          <w:szCs w:val="24"/>
          <w:lang w:val="es-EC"/>
        </w:rPr>
        <w:t xml:space="preserve"> la probabilidad de ocurrencia del evento para todas las zon</w:t>
      </w:r>
      <w:r w:rsidR="00CA3BD8">
        <w:rPr>
          <w:rFonts w:eastAsia="MS Mincho"/>
          <w:sz w:val="24"/>
          <w:szCs w:val="24"/>
          <w:lang w:val="es-EC"/>
        </w:rPr>
        <w:t xml:space="preserve">as de valoración </w:t>
      </w:r>
      <w:r w:rsidR="00772555">
        <w:rPr>
          <w:rFonts w:eastAsia="MS Mincho"/>
          <w:sz w:val="24"/>
          <w:szCs w:val="24"/>
          <w:lang w:val="es-EC"/>
        </w:rPr>
        <w:t>se mantuvo como</w:t>
      </w:r>
      <w:r w:rsidR="00CA3BD8">
        <w:rPr>
          <w:rFonts w:eastAsia="MS Mincho"/>
          <w:sz w:val="24"/>
          <w:szCs w:val="24"/>
          <w:lang w:val="es-EC"/>
        </w:rPr>
        <w:t xml:space="preserve"> “probable”.</w:t>
      </w:r>
    </w:p>
    <w:p w:rsidR="00CA3BD8" w:rsidRDefault="00CA3BD8" w:rsidP="00023B4D">
      <w:pPr>
        <w:pStyle w:val="Textoindependiente"/>
        <w:ind w:firstLine="567"/>
        <w:contextualSpacing/>
        <w:jc w:val="center"/>
        <w:rPr>
          <w:rFonts w:eastAsia="MS Mincho"/>
          <w:sz w:val="24"/>
          <w:szCs w:val="24"/>
          <w:lang w:val="es-EC"/>
        </w:rPr>
      </w:pPr>
      <w:r>
        <w:rPr>
          <w:noProof/>
          <w:lang w:val="es-EC" w:eastAsia="es-EC"/>
        </w:rPr>
        <w:lastRenderedPageBreak/>
        <w:drawing>
          <wp:inline distT="0" distB="0" distL="0" distR="0" wp14:anchorId="1ACB31B9" wp14:editId="003F4826">
            <wp:extent cx="2542540" cy="162877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551848" cy="1634738"/>
                    </a:xfrm>
                    <a:prstGeom prst="rect">
                      <a:avLst/>
                    </a:prstGeom>
                  </pic:spPr>
                </pic:pic>
              </a:graphicData>
            </a:graphic>
          </wp:inline>
        </w:drawing>
      </w:r>
      <w:r>
        <w:rPr>
          <w:noProof/>
          <w:lang w:val="es-EC" w:eastAsia="es-EC"/>
        </w:rPr>
        <w:drawing>
          <wp:inline distT="0" distB="0" distL="0" distR="0" wp14:anchorId="1F50B886" wp14:editId="76C3BD99">
            <wp:extent cx="2657475" cy="1590675"/>
            <wp:effectExtent l="0" t="0" r="9525" b="952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657475" cy="1590675"/>
                    </a:xfrm>
                    <a:prstGeom prst="rect">
                      <a:avLst/>
                    </a:prstGeom>
                  </pic:spPr>
                </pic:pic>
              </a:graphicData>
            </a:graphic>
          </wp:inline>
        </w:drawing>
      </w:r>
    </w:p>
    <w:p w:rsidR="00BB30AC" w:rsidRPr="00464981" w:rsidRDefault="00772555" w:rsidP="00CA3BD8">
      <w:pPr>
        <w:pStyle w:val="figuras"/>
        <w:jc w:val="center"/>
        <w:rPr>
          <w:rFonts w:eastAsiaTheme="minorHAnsi" w:cstheme="minorBidi"/>
          <w:b w:val="0"/>
          <w:i w:val="0"/>
          <w:sz w:val="22"/>
          <w:szCs w:val="22"/>
        </w:rPr>
      </w:pPr>
      <w:bookmarkStart w:id="9" w:name="_Toc8000792"/>
      <w:r>
        <w:rPr>
          <w:b w:val="0"/>
          <w:i w:val="0"/>
          <w:sz w:val="22"/>
          <w:szCs w:val="22"/>
        </w:rPr>
        <w:t>Figura 6</w:t>
      </w:r>
      <w:r w:rsidR="00BB30AC" w:rsidRPr="00464981">
        <w:rPr>
          <w:b w:val="0"/>
          <w:i w:val="0"/>
          <w:sz w:val="22"/>
          <w:szCs w:val="22"/>
        </w:rPr>
        <w:t>. Evaluación del riesgo desde el ámbito territorial para el lahar</w:t>
      </w:r>
      <w:bookmarkEnd w:id="9"/>
    </w:p>
    <w:p w:rsidR="00C85FCA" w:rsidRDefault="00257AE2" w:rsidP="00D9564B">
      <w:pPr>
        <w:rPr>
          <w:rFonts w:eastAsia="MS Mincho"/>
          <w:i/>
          <w:sz w:val="24"/>
          <w:szCs w:val="24"/>
          <w:lang w:val="es-EC"/>
        </w:rPr>
      </w:pPr>
      <w:r>
        <w:rPr>
          <w:rFonts w:eastAsia="MS Mincho"/>
          <w:i/>
          <w:sz w:val="24"/>
          <w:szCs w:val="24"/>
          <w:lang w:val="es-EC"/>
        </w:rPr>
        <w:t>Recomendaciones de planificación territorial</w:t>
      </w:r>
    </w:p>
    <w:p w:rsidR="00257AE2" w:rsidRDefault="00257AE2" w:rsidP="00D9564B">
      <w:pPr>
        <w:rPr>
          <w:rFonts w:eastAsia="MS Mincho"/>
          <w:i/>
          <w:sz w:val="24"/>
          <w:szCs w:val="24"/>
          <w:lang w:val="es-EC"/>
        </w:rPr>
      </w:pPr>
    </w:p>
    <w:p w:rsidR="002E1561" w:rsidRDefault="007B57CD" w:rsidP="002E1561">
      <w:pPr>
        <w:pStyle w:val="Textoindependiente"/>
        <w:ind w:firstLine="567"/>
        <w:contextualSpacing/>
        <w:jc w:val="both"/>
        <w:rPr>
          <w:rFonts w:eastAsia="MS Mincho"/>
          <w:sz w:val="24"/>
          <w:szCs w:val="24"/>
          <w:lang w:val="es-EC"/>
        </w:rPr>
      </w:pPr>
      <w:r>
        <w:rPr>
          <w:rFonts w:eastAsia="MS Mincho"/>
          <w:sz w:val="24"/>
          <w:szCs w:val="24"/>
          <w:lang w:val="es-EC"/>
        </w:rPr>
        <w:t xml:space="preserve">Fueron propuestas </w:t>
      </w:r>
      <w:r w:rsidR="00257AE2" w:rsidRPr="00464981">
        <w:rPr>
          <w:rFonts w:eastAsia="MS Mincho"/>
          <w:sz w:val="24"/>
          <w:szCs w:val="24"/>
          <w:lang w:val="es-EC"/>
        </w:rPr>
        <w:t xml:space="preserve">una serie de recomendaciones </w:t>
      </w:r>
      <w:r w:rsidR="00772555">
        <w:rPr>
          <w:rFonts w:eastAsia="MS Mincho"/>
          <w:sz w:val="24"/>
          <w:szCs w:val="24"/>
          <w:lang w:val="es-EC"/>
        </w:rPr>
        <w:t>en relación a la</w:t>
      </w:r>
      <w:r w:rsidR="00257AE2" w:rsidRPr="00464981">
        <w:rPr>
          <w:rFonts w:eastAsia="MS Mincho"/>
          <w:sz w:val="24"/>
          <w:szCs w:val="24"/>
          <w:lang w:val="es-EC"/>
        </w:rPr>
        <w:t xml:space="preserve"> planificación</w:t>
      </w:r>
      <w:r w:rsidR="00772555">
        <w:rPr>
          <w:rFonts w:eastAsia="MS Mincho"/>
          <w:sz w:val="24"/>
          <w:szCs w:val="24"/>
          <w:lang w:val="es-EC"/>
        </w:rPr>
        <w:t xml:space="preserve"> territorial</w:t>
      </w:r>
      <w:r>
        <w:rPr>
          <w:rFonts w:eastAsia="MS Mincho"/>
          <w:sz w:val="24"/>
          <w:szCs w:val="24"/>
          <w:lang w:val="es-EC"/>
        </w:rPr>
        <w:t>, mismas que</w:t>
      </w:r>
      <w:r w:rsidR="00257AE2" w:rsidRPr="00464981">
        <w:rPr>
          <w:rFonts w:eastAsia="MS Mincho"/>
          <w:sz w:val="24"/>
          <w:szCs w:val="24"/>
          <w:lang w:val="es-EC"/>
        </w:rPr>
        <w:t xml:space="preserve"> </w:t>
      </w:r>
      <w:r w:rsidR="00464981" w:rsidRPr="00464981">
        <w:rPr>
          <w:rFonts w:eastAsia="MS Mincho"/>
          <w:sz w:val="24"/>
          <w:szCs w:val="24"/>
          <w:lang w:val="es-EC"/>
        </w:rPr>
        <w:t xml:space="preserve">siguen </w:t>
      </w:r>
      <w:r w:rsidR="00257AE2" w:rsidRPr="00464981">
        <w:rPr>
          <w:rFonts w:eastAsia="MS Mincho"/>
          <w:sz w:val="24"/>
          <w:szCs w:val="24"/>
          <w:lang w:val="es-EC"/>
        </w:rPr>
        <w:t>el proceso para el tratamiento del riesgo que implica tomar acciones dirigidas a evitar, reducir, trasladar o conservar el riesgo, las cuales deben ser aplicadas en ese orden según sea posible su ejecución. Las acciones para tratar el riesgo fueron divididas en dos</w:t>
      </w:r>
      <w:r>
        <w:rPr>
          <w:rFonts w:eastAsia="MS Mincho"/>
          <w:sz w:val="24"/>
          <w:szCs w:val="24"/>
          <w:lang w:val="es-EC"/>
        </w:rPr>
        <w:t xml:space="preserve"> categorías, aquellas </w:t>
      </w:r>
      <w:r w:rsidR="00257AE2" w:rsidRPr="00464981">
        <w:rPr>
          <w:rFonts w:eastAsia="MS Mincho"/>
          <w:sz w:val="24"/>
          <w:szCs w:val="24"/>
          <w:lang w:val="es-EC"/>
        </w:rPr>
        <w:t xml:space="preserve">enfocadas </w:t>
      </w:r>
      <w:r>
        <w:rPr>
          <w:rFonts w:eastAsia="MS Mincho"/>
          <w:sz w:val="24"/>
          <w:szCs w:val="24"/>
          <w:lang w:val="es-EC"/>
        </w:rPr>
        <w:t>en</w:t>
      </w:r>
      <w:r w:rsidR="00257AE2" w:rsidRPr="00464981">
        <w:rPr>
          <w:rFonts w:eastAsia="MS Mincho"/>
          <w:sz w:val="24"/>
          <w:szCs w:val="24"/>
          <w:lang w:val="es-EC"/>
        </w:rPr>
        <w:t xml:space="preserve"> reducir el riesgo en las zonas de valoración y alcanzan</w:t>
      </w:r>
      <w:r w:rsidR="00772555">
        <w:rPr>
          <w:rFonts w:eastAsia="MS Mincho"/>
          <w:sz w:val="24"/>
          <w:szCs w:val="24"/>
          <w:lang w:val="es-EC"/>
        </w:rPr>
        <w:t xml:space="preserve"> una aplicación a nivel predial;</w:t>
      </w:r>
      <w:r w:rsidR="00257AE2" w:rsidRPr="00464981">
        <w:rPr>
          <w:rFonts w:eastAsia="MS Mincho"/>
          <w:sz w:val="24"/>
          <w:szCs w:val="24"/>
          <w:lang w:val="es-EC"/>
        </w:rPr>
        <w:t xml:space="preserve"> y aquellas que si bien reducen el riesgo en las zonas de valoración también reducen el riesgo del resto de la población </w:t>
      </w:r>
      <w:r w:rsidR="00772555">
        <w:rPr>
          <w:rFonts w:eastAsia="MS Mincho"/>
          <w:sz w:val="24"/>
          <w:szCs w:val="24"/>
          <w:lang w:val="es-EC"/>
        </w:rPr>
        <w:t xml:space="preserve">en ambas ciudades </w:t>
      </w:r>
      <w:r w:rsidR="00257AE2" w:rsidRPr="00464981">
        <w:rPr>
          <w:rFonts w:eastAsia="MS Mincho"/>
          <w:sz w:val="24"/>
          <w:szCs w:val="24"/>
          <w:lang w:val="es-EC"/>
        </w:rPr>
        <w:t xml:space="preserve">y su aplicación está a </w:t>
      </w:r>
      <w:r w:rsidR="00772555">
        <w:rPr>
          <w:rFonts w:eastAsia="MS Mincho"/>
          <w:sz w:val="24"/>
          <w:szCs w:val="24"/>
          <w:lang w:val="es-EC"/>
        </w:rPr>
        <w:t xml:space="preserve">nivel del cantón. </w:t>
      </w:r>
      <w:r w:rsidR="006022B8">
        <w:rPr>
          <w:rFonts w:eastAsia="MS Mincho"/>
          <w:sz w:val="24"/>
          <w:szCs w:val="24"/>
          <w:lang w:val="es-EC"/>
        </w:rPr>
        <w:t xml:space="preserve">Estas acciones </w:t>
      </w:r>
      <w:r>
        <w:rPr>
          <w:rFonts w:eastAsia="MS Mincho"/>
          <w:sz w:val="24"/>
          <w:szCs w:val="24"/>
          <w:lang w:val="es-EC"/>
        </w:rPr>
        <w:t>estuvieron dirigidas a</w:t>
      </w:r>
      <w:r w:rsidR="00257AE2" w:rsidRPr="00464981">
        <w:rPr>
          <w:rFonts w:eastAsia="MS Mincho"/>
          <w:sz w:val="24"/>
          <w:szCs w:val="24"/>
          <w:lang w:val="es-EC"/>
        </w:rPr>
        <w:t xml:space="preserve"> tres áreas de aplicación (AP) que com</w:t>
      </w:r>
      <w:r w:rsidR="006022B8">
        <w:rPr>
          <w:rFonts w:eastAsia="MS Mincho"/>
          <w:sz w:val="24"/>
          <w:szCs w:val="24"/>
          <w:lang w:val="es-EC"/>
        </w:rPr>
        <w:t xml:space="preserve">parten características comunes </w:t>
      </w:r>
      <w:r>
        <w:rPr>
          <w:rFonts w:eastAsia="MS Mincho"/>
          <w:sz w:val="24"/>
          <w:szCs w:val="24"/>
          <w:lang w:val="es-EC"/>
        </w:rPr>
        <w:t xml:space="preserve">dentro de la zona de estudio </w:t>
      </w:r>
      <w:r w:rsidR="006022B8">
        <w:rPr>
          <w:rFonts w:eastAsia="MS Mincho"/>
          <w:sz w:val="24"/>
          <w:szCs w:val="24"/>
          <w:lang w:val="es-EC"/>
        </w:rPr>
        <w:t xml:space="preserve">y van </w:t>
      </w:r>
      <w:r w:rsidR="00257AE2" w:rsidRPr="00464981">
        <w:rPr>
          <w:rFonts w:eastAsia="MS Mincho"/>
          <w:sz w:val="24"/>
          <w:szCs w:val="24"/>
          <w:lang w:val="es-EC"/>
        </w:rPr>
        <w:t>enfocadas principalmente a disminuir el número de construcciones de uso particular que se verían comprometidas por el la</w:t>
      </w:r>
      <w:r w:rsidR="00110E97" w:rsidRPr="00464981">
        <w:rPr>
          <w:rFonts w:eastAsia="MS Mincho"/>
          <w:sz w:val="24"/>
          <w:szCs w:val="24"/>
          <w:lang w:val="es-EC"/>
        </w:rPr>
        <w:t>har a través de una reubicación;</w:t>
      </w:r>
      <w:r w:rsidR="00257AE2" w:rsidRPr="00464981">
        <w:rPr>
          <w:rFonts w:eastAsia="MS Mincho"/>
          <w:sz w:val="24"/>
          <w:szCs w:val="24"/>
          <w:lang w:val="es-EC"/>
        </w:rPr>
        <w:t xml:space="preserve"> el trasladar y evitar que construcciones que brindan servicios de importancia social, cultural o instalaciones críticas se ubiquen en zonas de afectación y el aseguramiento de los bienes que podrían ser afectados para evitar pérdidas económicas.</w:t>
      </w:r>
      <w:r w:rsidR="002E1561">
        <w:rPr>
          <w:rFonts w:eastAsia="MS Mincho"/>
          <w:sz w:val="24"/>
          <w:szCs w:val="24"/>
          <w:lang w:val="es-EC"/>
        </w:rPr>
        <w:t xml:space="preserve"> Además, se </w:t>
      </w:r>
      <w:r w:rsidR="002E1561" w:rsidRPr="0046362F">
        <w:rPr>
          <w:rFonts w:eastAsia="MS Mincho"/>
          <w:sz w:val="24"/>
          <w:szCs w:val="24"/>
          <w:lang w:val="es-EC"/>
        </w:rPr>
        <w:t>asignó el nivel de riesgo correspondiente a cada uno de los predios afectados</w:t>
      </w:r>
      <w:r w:rsidR="002E1561">
        <w:rPr>
          <w:rFonts w:eastAsia="MS Mincho"/>
          <w:sz w:val="24"/>
          <w:szCs w:val="24"/>
          <w:lang w:val="es-EC"/>
        </w:rPr>
        <w:t>, donde las zonas 1 y 2 conservaron</w:t>
      </w:r>
      <w:r w:rsidR="002E1561" w:rsidRPr="0046362F">
        <w:rPr>
          <w:rFonts w:eastAsia="MS Mincho"/>
          <w:sz w:val="24"/>
          <w:szCs w:val="24"/>
          <w:lang w:val="es-EC"/>
        </w:rPr>
        <w:t xml:space="preserve"> un nivel de riesgo “Extremo” y un estado de conse</w:t>
      </w:r>
      <w:r w:rsidR="002E1561">
        <w:rPr>
          <w:rFonts w:eastAsia="MS Mincho"/>
          <w:sz w:val="24"/>
          <w:szCs w:val="24"/>
          <w:lang w:val="es-EC"/>
        </w:rPr>
        <w:t>ntimiento de “No conformidad”, mientras p</w:t>
      </w:r>
      <w:r w:rsidR="002E1561" w:rsidRPr="0046362F">
        <w:rPr>
          <w:rFonts w:eastAsia="MS Mincho"/>
          <w:sz w:val="24"/>
          <w:szCs w:val="24"/>
          <w:lang w:val="es-EC"/>
        </w:rPr>
        <w:t>or las car</w:t>
      </w:r>
      <w:r w:rsidR="002E1561">
        <w:rPr>
          <w:rFonts w:eastAsia="MS Mincho"/>
          <w:sz w:val="24"/>
          <w:szCs w:val="24"/>
          <w:lang w:val="es-EC"/>
        </w:rPr>
        <w:t xml:space="preserve">acterísticas de las zonas 3 y 4, y las acciones propuestas </w:t>
      </w:r>
      <w:r w:rsidR="002E1561" w:rsidRPr="0046362F">
        <w:rPr>
          <w:rFonts w:eastAsia="MS Mincho"/>
          <w:sz w:val="24"/>
          <w:szCs w:val="24"/>
          <w:lang w:val="es-EC"/>
        </w:rPr>
        <w:t>el</w:t>
      </w:r>
      <w:r w:rsidR="002E1561">
        <w:rPr>
          <w:rFonts w:eastAsia="MS Mincho"/>
          <w:sz w:val="24"/>
          <w:szCs w:val="24"/>
          <w:lang w:val="es-EC"/>
        </w:rPr>
        <w:t xml:space="preserve"> nivel</w:t>
      </w:r>
      <w:r w:rsidR="002E1561" w:rsidRPr="0046362F">
        <w:rPr>
          <w:rFonts w:eastAsia="MS Mincho"/>
          <w:sz w:val="24"/>
          <w:szCs w:val="24"/>
          <w:lang w:val="es-EC"/>
        </w:rPr>
        <w:t xml:space="preserve"> </w:t>
      </w:r>
      <w:r w:rsidR="002E1561">
        <w:rPr>
          <w:rFonts w:eastAsia="MS Mincho"/>
          <w:sz w:val="24"/>
          <w:szCs w:val="24"/>
          <w:lang w:val="es-EC"/>
        </w:rPr>
        <w:t>de riesgo bajo a</w:t>
      </w:r>
      <w:r w:rsidR="002E1561" w:rsidRPr="0046362F">
        <w:rPr>
          <w:rFonts w:eastAsia="MS Mincho"/>
          <w:sz w:val="24"/>
          <w:szCs w:val="24"/>
          <w:lang w:val="es-EC"/>
        </w:rPr>
        <w:t xml:space="preserve"> “Alto” y un estado de consentimiento “Discrecional”</w:t>
      </w:r>
      <w:r w:rsidR="002E1561">
        <w:rPr>
          <w:rFonts w:eastAsia="MS Mincho"/>
          <w:sz w:val="24"/>
          <w:szCs w:val="24"/>
          <w:lang w:val="es-EC"/>
        </w:rPr>
        <w:t>.</w:t>
      </w:r>
    </w:p>
    <w:p w:rsidR="002E1561" w:rsidRPr="002E1561" w:rsidRDefault="002E1561" w:rsidP="006022B8">
      <w:pPr>
        <w:pStyle w:val="Textoindependiente"/>
        <w:contextualSpacing/>
        <w:jc w:val="both"/>
        <w:rPr>
          <w:rFonts w:eastAsia="MS Mincho"/>
          <w:sz w:val="24"/>
          <w:szCs w:val="24"/>
          <w:lang w:val="es-EC"/>
        </w:rPr>
      </w:pPr>
    </w:p>
    <w:p w:rsidR="0051626A" w:rsidRDefault="0051626A" w:rsidP="006022B8">
      <w:pPr>
        <w:pStyle w:val="Textoindependiente"/>
        <w:contextualSpacing/>
        <w:jc w:val="both"/>
        <w:rPr>
          <w:sz w:val="24"/>
          <w:szCs w:val="24"/>
          <w:lang w:val="es-EC"/>
        </w:rPr>
      </w:pPr>
      <w:r>
        <w:rPr>
          <w:sz w:val="24"/>
          <w:szCs w:val="24"/>
          <w:lang w:val="es-EC"/>
        </w:rPr>
        <w:t xml:space="preserve">GENERACIÓN </w:t>
      </w:r>
      <w:r w:rsidR="00464981">
        <w:rPr>
          <w:sz w:val="24"/>
          <w:szCs w:val="24"/>
          <w:lang w:val="es-EC"/>
        </w:rPr>
        <w:t xml:space="preserve">DEL </w:t>
      </w:r>
      <w:r>
        <w:rPr>
          <w:sz w:val="24"/>
          <w:szCs w:val="24"/>
          <w:lang w:val="es-EC"/>
        </w:rPr>
        <w:t>SISTEMA CATASTRAL DE RIESGOS</w:t>
      </w:r>
    </w:p>
    <w:p w:rsidR="006022B8" w:rsidRDefault="006022B8" w:rsidP="00464981">
      <w:pPr>
        <w:pStyle w:val="Textoindependiente"/>
        <w:ind w:firstLine="567"/>
        <w:contextualSpacing/>
        <w:jc w:val="both"/>
        <w:rPr>
          <w:rFonts w:eastAsia="MS Mincho"/>
          <w:sz w:val="24"/>
          <w:szCs w:val="24"/>
          <w:lang w:val="es-EC"/>
        </w:rPr>
      </w:pPr>
    </w:p>
    <w:p w:rsidR="00257AE2" w:rsidRPr="00464981" w:rsidRDefault="00772555" w:rsidP="00464981">
      <w:pPr>
        <w:pStyle w:val="Textoindependiente"/>
        <w:ind w:firstLine="567"/>
        <w:contextualSpacing/>
        <w:jc w:val="both"/>
        <w:rPr>
          <w:rFonts w:eastAsia="MS Mincho"/>
          <w:sz w:val="24"/>
          <w:szCs w:val="24"/>
          <w:lang w:val="es-EC"/>
        </w:rPr>
      </w:pPr>
      <w:r>
        <w:rPr>
          <w:rFonts w:eastAsia="MS Mincho"/>
          <w:sz w:val="24"/>
          <w:szCs w:val="24"/>
          <w:lang w:val="es-EC"/>
        </w:rPr>
        <w:t>Con la finalidad de</w:t>
      </w:r>
      <w:r w:rsidR="00257AE2" w:rsidRPr="00464981">
        <w:rPr>
          <w:rFonts w:eastAsia="MS Mincho"/>
          <w:sz w:val="24"/>
          <w:szCs w:val="24"/>
          <w:lang w:val="es-EC"/>
        </w:rPr>
        <w:t xml:space="preserve"> integr</w:t>
      </w:r>
      <w:r w:rsidR="005D73F8">
        <w:rPr>
          <w:rFonts w:eastAsia="MS Mincho"/>
          <w:sz w:val="24"/>
          <w:szCs w:val="24"/>
          <w:lang w:val="es-EC"/>
        </w:rPr>
        <w:t>a</w:t>
      </w:r>
      <w:r>
        <w:rPr>
          <w:rFonts w:eastAsia="MS Mincho"/>
          <w:sz w:val="24"/>
          <w:szCs w:val="24"/>
          <w:lang w:val="es-EC"/>
        </w:rPr>
        <w:t>r</w:t>
      </w:r>
      <w:r w:rsidR="00257AE2" w:rsidRPr="00464981">
        <w:rPr>
          <w:rFonts w:eastAsia="MS Mincho"/>
          <w:sz w:val="24"/>
          <w:szCs w:val="24"/>
          <w:lang w:val="es-EC"/>
        </w:rPr>
        <w:t xml:space="preserve"> </w:t>
      </w:r>
      <w:r w:rsidR="005D73F8" w:rsidRPr="00464981">
        <w:rPr>
          <w:rFonts w:eastAsia="MS Mincho"/>
          <w:sz w:val="24"/>
          <w:szCs w:val="24"/>
          <w:lang w:val="es-EC"/>
        </w:rPr>
        <w:t>información</w:t>
      </w:r>
      <w:r w:rsidR="005D73F8">
        <w:rPr>
          <w:rFonts w:eastAsia="MS Mincho"/>
          <w:sz w:val="24"/>
          <w:szCs w:val="24"/>
          <w:lang w:val="es-EC"/>
        </w:rPr>
        <w:t xml:space="preserve"> del </w:t>
      </w:r>
      <w:r w:rsidR="00257AE2" w:rsidRPr="00464981">
        <w:rPr>
          <w:rFonts w:eastAsia="MS Mincho"/>
          <w:sz w:val="24"/>
          <w:szCs w:val="24"/>
          <w:lang w:val="es-EC"/>
        </w:rPr>
        <w:t xml:space="preserve">catastro inmobiliario convencional con información referente a </w:t>
      </w:r>
      <w:r>
        <w:rPr>
          <w:rFonts w:eastAsia="MS Mincho"/>
          <w:sz w:val="24"/>
          <w:szCs w:val="24"/>
          <w:lang w:val="es-EC"/>
        </w:rPr>
        <w:t>la gestión d</w:t>
      </w:r>
      <w:r w:rsidR="005D73F8">
        <w:rPr>
          <w:rFonts w:eastAsia="MS Mincho"/>
          <w:sz w:val="24"/>
          <w:szCs w:val="24"/>
          <w:lang w:val="es-EC"/>
        </w:rPr>
        <w:t xml:space="preserve">e </w:t>
      </w:r>
      <w:r w:rsidR="00257AE2" w:rsidRPr="00464981">
        <w:rPr>
          <w:rFonts w:eastAsia="MS Mincho"/>
          <w:sz w:val="24"/>
          <w:szCs w:val="24"/>
          <w:lang w:val="es-EC"/>
        </w:rPr>
        <w:t>riesgos naturales</w:t>
      </w:r>
      <w:r>
        <w:rPr>
          <w:rFonts w:eastAsia="MS Mincho"/>
          <w:sz w:val="24"/>
          <w:szCs w:val="24"/>
          <w:lang w:val="es-EC"/>
        </w:rPr>
        <w:t>, fue desarrollado e</w:t>
      </w:r>
      <w:r w:rsidR="005D73F8">
        <w:rPr>
          <w:rFonts w:eastAsia="MS Mincho"/>
          <w:sz w:val="24"/>
          <w:szCs w:val="24"/>
          <w:lang w:val="es-EC"/>
        </w:rPr>
        <w:t xml:space="preserve">l SCR </w:t>
      </w:r>
      <w:r>
        <w:rPr>
          <w:rFonts w:eastAsia="MS Mincho"/>
          <w:sz w:val="24"/>
          <w:szCs w:val="24"/>
          <w:lang w:val="es-EC"/>
        </w:rPr>
        <w:t xml:space="preserve">que </w:t>
      </w:r>
      <w:r w:rsidR="005D73F8">
        <w:rPr>
          <w:rFonts w:eastAsia="MS Mincho"/>
          <w:sz w:val="24"/>
          <w:szCs w:val="24"/>
          <w:lang w:val="es-EC"/>
        </w:rPr>
        <w:t>p</w:t>
      </w:r>
      <w:r w:rsidR="00257AE2" w:rsidRPr="00464981">
        <w:rPr>
          <w:rFonts w:eastAsia="MS Mincho"/>
          <w:sz w:val="24"/>
          <w:szCs w:val="24"/>
          <w:lang w:val="es-EC"/>
        </w:rPr>
        <w:t xml:space="preserve">ermite registrar los peligros naturales a los cuales se encuentran expuestas las diferentes unidades espaciales, la valoración del riesgo y las acciones a tomar para tratarlo. Esto no solo ayuda a asentar la información generada sobre riesgos, sino que permite </w:t>
      </w:r>
      <w:r w:rsidR="005D73F8">
        <w:rPr>
          <w:rFonts w:eastAsia="MS Mincho"/>
          <w:sz w:val="24"/>
          <w:szCs w:val="24"/>
          <w:lang w:val="es-EC"/>
        </w:rPr>
        <w:t>transmitirla a</w:t>
      </w:r>
      <w:r>
        <w:rPr>
          <w:rFonts w:eastAsia="MS Mincho"/>
          <w:sz w:val="24"/>
          <w:szCs w:val="24"/>
          <w:lang w:val="es-EC"/>
        </w:rPr>
        <w:t xml:space="preserve"> los interesados, entre los cuales se encuentran </w:t>
      </w:r>
      <w:r w:rsidR="00257AE2" w:rsidRPr="00464981">
        <w:rPr>
          <w:rFonts w:eastAsia="MS Mincho"/>
          <w:sz w:val="24"/>
          <w:szCs w:val="24"/>
          <w:lang w:val="es-EC"/>
        </w:rPr>
        <w:t xml:space="preserve">la ciudadanía, gobiernos locales, gobierno nacional y diferentes organizaciones e instituciones vinculadas ya sea a la administración territorial o la gestión del riesgo, </w:t>
      </w:r>
      <w:r w:rsidR="008A6EC7">
        <w:rPr>
          <w:rFonts w:eastAsia="MS Mincho"/>
          <w:sz w:val="24"/>
          <w:szCs w:val="24"/>
          <w:lang w:val="es-EC"/>
        </w:rPr>
        <w:t>y así</w:t>
      </w:r>
      <w:r w:rsidR="00257AE2" w:rsidRPr="00464981">
        <w:rPr>
          <w:rFonts w:eastAsia="MS Mincho"/>
          <w:sz w:val="24"/>
          <w:szCs w:val="24"/>
          <w:lang w:val="es-EC"/>
        </w:rPr>
        <w:t xml:space="preserve"> puedan </w:t>
      </w:r>
      <w:r w:rsidR="005D73F8">
        <w:rPr>
          <w:rFonts w:eastAsia="MS Mincho"/>
          <w:sz w:val="24"/>
          <w:szCs w:val="24"/>
          <w:lang w:val="es-EC"/>
        </w:rPr>
        <w:t>tomar</w:t>
      </w:r>
      <w:r w:rsidR="00257AE2" w:rsidRPr="00464981">
        <w:rPr>
          <w:rFonts w:eastAsia="MS Mincho"/>
          <w:sz w:val="24"/>
          <w:szCs w:val="24"/>
          <w:lang w:val="es-EC"/>
        </w:rPr>
        <w:t xml:space="preserve"> las accion</w:t>
      </w:r>
      <w:r w:rsidR="005D73F8">
        <w:rPr>
          <w:rFonts w:eastAsia="MS Mincho"/>
          <w:sz w:val="24"/>
          <w:szCs w:val="24"/>
          <w:lang w:val="es-EC"/>
        </w:rPr>
        <w:t>es necesarias</w:t>
      </w:r>
      <w:r w:rsidR="00257AE2" w:rsidRPr="00464981">
        <w:rPr>
          <w:rFonts w:eastAsia="MS Mincho"/>
          <w:sz w:val="24"/>
          <w:szCs w:val="24"/>
          <w:lang w:val="es-EC"/>
        </w:rPr>
        <w:t xml:space="preserve">. </w:t>
      </w:r>
      <w:r w:rsidR="005D73F8">
        <w:rPr>
          <w:rFonts w:eastAsia="MS Mincho"/>
          <w:sz w:val="24"/>
          <w:szCs w:val="24"/>
          <w:lang w:val="es-EC"/>
        </w:rPr>
        <w:t xml:space="preserve">El SCR </w:t>
      </w:r>
      <w:r w:rsidR="00257AE2" w:rsidRPr="00464981">
        <w:rPr>
          <w:rFonts w:eastAsia="MS Mincho"/>
          <w:sz w:val="24"/>
          <w:szCs w:val="24"/>
          <w:lang w:val="es-EC"/>
        </w:rPr>
        <w:t>aplica el modelo conceptual de la LADM descrito en la ISO 19152:2012, donde la gestión de riesgos implica una serie de nuevos derechos, restricciones y responsabilidades (RRR por sus siglas en inglés) sobre el predio y sobre quien ejerce la tenencia del mismo, E</w:t>
      </w:r>
      <w:r w:rsidR="008A6EC7">
        <w:rPr>
          <w:rFonts w:eastAsia="MS Mincho"/>
          <w:sz w:val="24"/>
          <w:szCs w:val="24"/>
          <w:lang w:val="es-EC"/>
        </w:rPr>
        <w:t>n la Figura 7</w:t>
      </w:r>
      <w:r w:rsidR="00257AE2" w:rsidRPr="00464981">
        <w:rPr>
          <w:rFonts w:eastAsia="MS Mincho"/>
          <w:sz w:val="24"/>
          <w:szCs w:val="24"/>
          <w:lang w:val="es-EC"/>
        </w:rPr>
        <w:t xml:space="preserve"> se muestra la clasificación de los derechos, restricciones y responsabilidades dados por la gestión de riesgos acorde al esquema de la LADM. </w:t>
      </w:r>
    </w:p>
    <w:p w:rsidR="00257AE2" w:rsidRDefault="00257AE2" w:rsidP="00257AE2">
      <w:pPr>
        <w:jc w:val="center"/>
        <w:rPr>
          <w:sz w:val="24"/>
          <w:szCs w:val="24"/>
        </w:rPr>
      </w:pPr>
      <w:r>
        <w:rPr>
          <w:noProof/>
          <w:sz w:val="24"/>
          <w:szCs w:val="24"/>
          <w:lang w:val="es-EC" w:eastAsia="es-EC"/>
        </w:rPr>
        <w:lastRenderedPageBreak/>
        <w:drawing>
          <wp:inline distT="0" distB="0" distL="0" distR="0" wp14:anchorId="783F9984" wp14:editId="3AF15D02">
            <wp:extent cx="4264025" cy="3286125"/>
            <wp:effectExtent l="0" t="0" r="317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89"/>
                    <pic:cNvPicPr>
                      <a:picLocks noChangeAspect="1" noChangeArrowheads="1"/>
                    </pic:cNvPicPr>
                  </pic:nvPicPr>
                  <pic:blipFill>
                    <a:blip r:embed="rId18">
                      <a:extLst>
                        <a:ext uri="{28A0092B-C50C-407E-A947-70E740481C1C}">
                          <a14:useLocalDpi xmlns:a14="http://schemas.microsoft.com/office/drawing/2010/main" val="0"/>
                        </a:ext>
                      </a:extLst>
                    </a:blip>
                    <a:srcRect t="-2" b="-1762"/>
                    <a:stretch>
                      <a:fillRect/>
                    </a:stretch>
                  </pic:blipFill>
                  <pic:spPr bwMode="auto">
                    <a:xfrm>
                      <a:off x="0" y="0"/>
                      <a:ext cx="4283767" cy="3301339"/>
                    </a:xfrm>
                    <a:prstGeom prst="rect">
                      <a:avLst/>
                    </a:prstGeom>
                    <a:noFill/>
                    <a:ln>
                      <a:noFill/>
                    </a:ln>
                  </pic:spPr>
                </pic:pic>
              </a:graphicData>
            </a:graphic>
          </wp:inline>
        </w:drawing>
      </w:r>
    </w:p>
    <w:p w:rsidR="00257AE2" w:rsidRPr="00464981" w:rsidRDefault="008A6EC7" w:rsidP="00464981">
      <w:pPr>
        <w:pStyle w:val="figuras"/>
        <w:spacing w:before="0" w:after="0"/>
        <w:jc w:val="center"/>
        <w:rPr>
          <w:b w:val="0"/>
          <w:i w:val="0"/>
          <w:sz w:val="22"/>
          <w:szCs w:val="22"/>
          <w:lang w:val="es-EC" w:eastAsia="en-US"/>
        </w:rPr>
      </w:pPr>
      <w:bookmarkStart w:id="10" w:name="_Toc8000797"/>
      <w:r>
        <w:rPr>
          <w:b w:val="0"/>
          <w:i w:val="0"/>
          <w:sz w:val="22"/>
          <w:szCs w:val="22"/>
          <w:lang w:val="es-EC" w:eastAsia="en-US"/>
        </w:rPr>
        <w:t>Figura 7</w:t>
      </w:r>
      <w:r w:rsidR="00257AE2" w:rsidRPr="00464981">
        <w:rPr>
          <w:b w:val="0"/>
          <w:i w:val="0"/>
          <w:sz w:val="22"/>
          <w:szCs w:val="22"/>
          <w:lang w:val="es-EC" w:eastAsia="en-US"/>
        </w:rPr>
        <w:t>. Derechos, restricciones y responsabilidades ligados a la gestión de riesgos</w:t>
      </w:r>
      <w:bookmarkEnd w:id="10"/>
    </w:p>
    <w:p w:rsidR="00257AE2" w:rsidRDefault="00257AE2" w:rsidP="00257AE2">
      <w:pPr>
        <w:jc w:val="both"/>
        <w:rPr>
          <w:sz w:val="24"/>
          <w:szCs w:val="24"/>
          <w:lang w:val="es-EC"/>
        </w:rPr>
      </w:pPr>
    </w:p>
    <w:p w:rsidR="003B715C" w:rsidRDefault="003B715C" w:rsidP="00257AE2">
      <w:pPr>
        <w:jc w:val="both"/>
        <w:rPr>
          <w:sz w:val="24"/>
          <w:szCs w:val="24"/>
          <w:lang w:val="es-EC"/>
        </w:rPr>
      </w:pPr>
    </w:p>
    <w:p w:rsidR="00257AE2" w:rsidRDefault="005D73F8" w:rsidP="00464981">
      <w:pPr>
        <w:pStyle w:val="Textoindependiente"/>
        <w:ind w:firstLine="567"/>
        <w:contextualSpacing/>
        <w:jc w:val="both"/>
        <w:rPr>
          <w:rFonts w:eastAsia="MS Mincho"/>
          <w:sz w:val="24"/>
          <w:szCs w:val="24"/>
          <w:lang w:val="es-EC"/>
        </w:rPr>
      </w:pPr>
      <w:r>
        <w:rPr>
          <w:rFonts w:eastAsia="MS Mincho"/>
          <w:sz w:val="24"/>
          <w:szCs w:val="24"/>
          <w:lang w:val="es-EC"/>
        </w:rPr>
        <w:t>L</w:t>
      </w:r>
      <w:r w:rsidR="00257AE2" w:rsidRPr="00464981">
        <w:rPr>
          <w:rFonts w:eastAsia="MS Mincho"/>
          <w:sz w:val="24"/>
          <w:szCs w:val="24"/>
          <w:lang w:val="es-EC"/>
        </w:rPr>
        <w:t>os derechos, restricciones y responsabilidades varían acorde al nivel territorial al cual está dirigido, en este caso el sistema catastral se encu</w:t>
      </w:r>
      <w:r w:rsidR="008A6EC7">
        <w:rPr>
          <w:rFonts w:eastAsia="MS Mincho"/>
          <w:sz w:val="24"/>
          <w:szCs w:val="24"/>
          <w:lang w:val="es-EC"/>
        </w:rPr>
        <w:t>entra dirigido al nivel predial</w:t>
      </w:r>
      <w:r w:rsidR="00257AE2" w:rsidRPr="00464981">
        <w:rPr>
          <w:rFonts w:eastAsia="MS Mincho"/>
          <w:sz w:val="24"/>
          <w:szCs w:val="24"/>
          <w:lang w:val="es-EC"/>
        </w:rPr>
        <w:t>. La información de riesgos que fue ingresada al sistema catastral se detalló dentro de la ficha catastral de riesgos acorde al área de aplicación (AP) en la que se encuen</w:t>
      </w:r>
      <w:r w:rsidR="008A6EC7">
        <w:rPr>
          <w:rFonts w:eastAsia="MS Mincho"/>
          <w:sz w:val="24"/>
          <w:szCs w:val="24"/>
          <w:lang w:val="es-EC"/>
        </w:rPr>
        <w:t>tra el predio, un</w:t>
      </w:r>
      <w:r w:rsidR="00257AE2" w:rsidRPr="00464981">
        <w:rPr>
          <w:rFonts w:eastAsia="MS Mincho"/>
          <w:sz w:val="24"/>
          <w:szCs w:val="24"/>
          <w:lang w:val="es-EC"/>
        </w:rPr>
        <w:t xml:space="preserve">a vez definida la estructura del sistema catastral y la información que sería ingresada, se procedió a su creación </w:t>
      </w:r>
      <w:r w:rsidR="008A6EC7">
        <w:rPr>
          <w:rFonts w:eastAsia="MS Mincho"/>
          <w:sz w:val="24"/>
          <w:szCs w:val="24"/>
          <w:lang w:val="es-EC"/>
        </w:rPr>
        <w:t>con la ayuda del software STDM; fueron generados</w:t>
      </w:r>
      <w:r w:rsidR="00257AE2" w:rsidRPr="00464981">
        <w:rPr>
          <w:rFonts w:eastAsia="MS Mincho"/>
          <w:sz w:val="24"/>
          <w:szCs w:val="24"/>
          <w:lang w:val="es-EC"/>
        </w:rPr>
        <w:t xml:space="preserve"> informes automáticos para cada predio, </w:t>
      </w:r>
      <w:r w:rsidR="008A6EC7">
        <w:rPr>
          <w:rFonts w:eastAsia="MS Mincho"/>
          <w:sz w:val="24"/>
          <w:szCs w:val="24"/>
          <w:lang w:val="es-EC"/>
        </w:rPr>
        <w:t>los cuales poseen</w:t>
      </w:r>
      <w:r w:rsidR="00257AE2" w:rsidRPr="00464981">
        <w:rPr>
          <w:rFonts w:eastAsia="MS Mincho"/>
          <w:sz w:val="24"/>
          <w:szCs w:val="24"/>
          <w:lang w:val="es-EC"/>
        </w:rPr>
        <w:t xml:space="preserve"> un mapa de ubicación del predio, información del predio, del propietario y de la evaluación de riesgos.</w:t>
      </w:r>
    </w:p>
    <w:p w:rsidR="003B715C" w:rsidRPr="00464981" w:rsidRDefault="003B715C" w:rsidP="00464981">
      <w:pPr>
        <w:pStyle w:val="Textoindependiente"/>
        <w:ind w:firstLine="567"/>
        <w:contextualSpacing/>
        <w:jc w:val="both"/>
        <w:rPr>
          <w:rFonts w:eastAsia="MS Mincho"/>
          <w:sz w:val="24"/>
          <w:szCs w:val="24"/>
          <w:lang w:val="es-EC"/>
        </w:rPr>
      </w:pPr>
    </w:p>
    <w:p w:rsidR="00D93BF2" w:rsidRDefault="00560C1F" w:rsidP="00DF5227">
      <w:pPr>
        <w:pStyle w:val="Els-1storder-head"/>
        <w:spacing w:before="0" w:after="0" w:line="240" w:lineRule="auto"/>
        <w:jc w:val="both"/>
        <w:rPr>
          <w:sz w:val="24"/>
          <w:szCs w:val="24"/>
          <w:lang w:val="es-EC"/>
        </w:rPr>
      </w:pPr>
      <w:r w:rsidRPr="00667441">
        <w:rPr>
          <w:sz w:val="24"/>
          <w:szCs w:val="24"/>
          <w:lang w:val="es-EC"/>
        </w:rPr>
        <w:t xml:space="preserve">RESULTADOS </w:t>
      </w:r>
      <w:r w:rsidR="00257AE2">
        <w:rPr>
          <w:sz w:val="24"/>
          <w:szCs w:val="24"/>
          <w:lang w:val="es-EC"/>
        </w:rPr>
        <w:t>Y DISCUSIÓN</w:t>
      </w:r>
    </w:p>
    <w:p w:rsidR="003B715C" w:rsidRPr="003B715C" w:rsidRDefault="003B715C" w:rsidP="003B715C">
      <w:pPr>
        <w:pStyle w:val="Els-body-text"/>
        <w:rPr>
          <w:lang w:val="es-EC"/>
        </w:rPr>
      </w:pPr>
    </w:p>
    <w:p w:rsidR="00C85FCA" w:rsidRDefault="00C85FCA" w:rsidP="00C85FCA">
      <w:pPr>
        <w:pStyle w:val="Els-1storder-head"/>
        <w:spacing w:before="0" w:after="0" w:line="240" w:lineRule="auto"/>
        <w:jc w:val="both"/>
        <w:rPr>
          <w:b w:val="0"/>
          <w:sz w:val="24"/>
          <w:szCs w:val="24"/>
          <w:lang w:val="es-EC"/>
        </w:rPr>
      </w:pPr>
      <w:r>
        <w:rPr>
          <w:b w:val="0"/>
          <w:sz w:val="24"/>
          <w:szCs w:val="24"/>
          <w:lang w:val="es-EC"/>
        </w:rPr>
        <w:t>DATOS GENERADOS</w:t>
      </w:r>
    </w:p>
    <w:p w:rsidR="003B715C" w:rsidRPr="003B715C" w:rsidRDefault="003B715C" w:rsidP="003B715C">
      <w:pPr>
        <w:pStyle w:val="Els-body-text"/>
        <w:rPr>
          <w:lang w:val="es-EC"/>
        </w:rPr>
      </w:pPr>
    </w:p>
    <w:p w:rsidR="00C85FCA" w:rsidRDefault="00257AE2" w:rsidP="00C85FCA">
      <w:pPr>
        <w:rPr>
          <w:rFonts w:eastAsia="MS Mincho"/>
          <w:i/>
          <w:sz w:val="24"/>
          <w:szCs w:val="24"/>
          <w:lang w:val="es-EC"/>
        </w:rPr>
      </w:pPr>
      <w:r>
        <w:rPr>
          <w:rFonts w:eastAsia="MS Mincho"/>
          <w:i/>
          <w:sz w:val="24"/>
          <w:szCs w:val="24"/>
          <w:lang w:val="es-EC"/>
        </w:rPr>
        <w:t>Valoración del riesgo</w:t>
      </w:r>
    </w:p>
    <w:p w:rsidR="00257AE2" w:rsidRDefault="00257AE2" w:rsidP="00C85FCA">
      <w:pPr>
        <w:rPr>
          <w:rFonts w:eastAsia="MS Mincho"/>
          <w:i/>
          <w:sz w:val="24"/>
          <w:szCs w:val="24"/>
          <w:lang w:val="es-EC"/>
        </w:rPr>
      </w:pPr>
    </w:p>
    <w:p w:rsidR="00854128" w:rsidRDefault="00257AE2" w:rsidP="003D5A4A">
      <w:pPr>
        <w:pStyle w:val="Textoindependiente"/>
        <w:ind w:firstLine="567"/>
        <w:contextualSpacing/>
        <w:jc w:val="both"/>
        <w:rPr>
          <w:rFonts w:eastAsia="MS Mincho"/>
          <w:sz w:val="24"/>
          <w:szCs w:val="24"/>
          <w:lang w:val="es-EC"/>
        </w:rPr>
      </w:pPr>
      <w:r w:rsidRPr="008A6EC7">
        <w:rPr>
          <w:rFonts w:eastAsia="MS Mincho"/>
          <w:sz w:val="24"/>
          <w:szCs w:val="24"/>
          <w:lang w:val="es-EC"/>
        </w:rPr>
        <w:t>Una vez determinadas las consecuencias en lo referente a construcciones, construcciones con interés social/cultural, instalaciones críticas, ámbito económico y de salud y seguridad, y aplicar la tabla multi-riesgos para determinar el nivel de consecuencias de cada uno de estos elementos, se obtuvo la severidad del impacto para cada una de las zonas de val</w:t>
      </w:r>
      <w:r w:rsidR="00854128">
        <w:rPr>
          <w:rFonts w:eastAsia="MS Mincho"/>
          <w:sz w:val="24"/>
          <w:szCs w:val="24"/>
          <w:lang w:val="es-EC"/>
        </w:rPr>
        <w:t xml:space="preserve">oración como muestra la Tabla </w:t>
      </w:r>
      <w:r w:rsidR="006022B8">
        <w:rPr>
          <w:rFonts w:eastAsia="MS Mincho"/>
          <w:sz w:val="24"/>
          <w:szCs w:val="24"/>
          <w:lang w:val="es-EC"/>
        </w:rPr>
        <w:t>3</w:t>
      </w:r>
      <w:r w:rsidR="0046362F">
        <w:rPr>
          <w:rFonts w:eastAsia="MS Mincho"/>
          <w:sz w:val="24"/>
          <w:szCs w:val="24"/>
          <w:lang w:val="es-EC"/>
        </w:rPr>
        <w:t>, d</w:t>
      </w:r>
      <w:r w:rsidR="0046362F" w:rsidRPr="00854128">
        <w:rPr>
          <w:rFonts w:eastAsia="MS Mincho"/>
          <w:sz w:val="24"/>
          <w:szCs w:val="24"/>
          <w:lang w:val="es-EC"/>
        </w:rPr>
        <w:t>o</w:t>
      </w:r>
      <w:r w:rsidR="0046362F">
        <w:rPr>
          <w:rFonts w:eastAsia="MS Mincho"/>
          <w:sz w:val="24"/>
          <w:szCs w:val="24"/>
          <w:lang w:val="es-EC"/>
        </w:rPr>
        <w:t>nde se observa que todas las zonas de valoración resultaron con al menos un parámetro catalogado como catastrófico, sin embargo,</w:t>
      </w:r>
      <w:r w:rsidR="00854128" w:rsidRPr="00854128">
        <w:rPr>
          <w:rFonts w:eastAsia="MS Mincho"/>
          <w:sz w:val="24"/>
          <w:szCs w:val="24"/>
          <w:lang w:val="es-EC"/>
        </w:rPr>
        <w:t xml:space="preserve"> </w:t>
      </w:r>
      <w:r w:rsidR="0046362F">
        <w:rPr>
          <w:rFonts w:eastAsia="MS Mincho"/>
          <w:sz w:val="24"/>
          <w:szCs w:val="24"/>
          <w:lang w:val="es-EC"/>
        </w:rPr>
        <w:t xml:space="preserve">es </w:t>
      </w:r>
      <w:r w:rsidR="00854128" w:rsidRPr="00854128">
        <w:rPr>
          <w:rFonts w:eastAsia="MS Mincho"/>
          <w:sz w:val="24"/>
          <w:szCs w:val="24"/>
          <w:lang w:val="es-EC"/>
        </w:rPr>
        <w:t>ev</w:t>
      </w:r>
      <w:r w:rsidR="0046362F">
        <w:rPr>
          <w:rFonts w:eastAsia="MS Mincho"/>
          <w:sz w:val="24"/>
          <w:szCs w:val="24"/>
          <w:lang w:val="es-EC"/>
        </w:rPr>
        <w:t>idente</w:t>
      </w:r>
      <w:r w:rsidR="00854128" w:rsidRPr="00854128">
        <w:rPr>
          <w:rFonts w:eastAsia="MS Mincho"/>
          <w:sz w:val="24"/>
          <w:szCs w:val="24"/>
          <w:lang w:val="es-EC"/>
        </w:rPr>
        <w:t xml:space="preserve"> que las principales afectaciones se dan en las zonas 1 y 2, y están especialmente ligadas al alto número de construcciones existentes en la zona de riesgo.</w:t>
      </w:r>
    </w:p>
    <w:p w:rsidR="003B715C" w:rsidRDefault="003B715C" w:rsidP="00854128">
      <w:pPr>
        <w:pStyle w:val="Textoindependiente"/>
        <w:ind w:firstLine="567"/>
        <w:contextualSpacing/>
        <w:jc w:val="both"/>
        <w:rPr>
          <w:rFonts w:eastAsia="MS Mincho"/>
          <w:sz w:val="24"/>
          <w:szCs w:val="24"/>
          <w:lang w:val="es-EC"/>
        </w:rPr>
      </w:pPr>
    </w:p>
    <w:p w:rsidR="003B715C" w:rsidRDefault="003B715C" w:rsidP="00854128">
      <w:pPr>
        <w:pStyle w:val="Textoindependiente"/>
        <w:ind w:firstLine="567"/>
        <w:contextualSpacing/>
        <w:jc w:val="both"/>
        <w:rPr>
          <w:rFonts w:eastAsia="MS Mincho"/>
          <w:sz w:val="24"/>
          <w:szCs w:val="24"/>
          <w:lang w:val="es-EC"/>
        </w:rPr>
      </w:pPr>
    </w:p>
    <w:p w:rsidR="003B715C" w:rsidRDefault="003B715C" w:rsidP="00854128">
      <w:pPr>
        <w:pStyle w:val="Textoindependiente"/>
        <w:ind w:firstLine="567"/>
        <w:contextualSpacing/>
        <w:jc w:val="both"/>
        <w:rPr>
          <w:rFonts w:eastAsia="MS Mincho"/>
          <w:sz w:val="24"/>
          <w:szCs w:val="24"/>
          <w:lang w:val="es-EC"/>
        </w:rPr>
      </w:pPr>
    </w:p>
    <w:p w:rsidR="00257AE2" w:rsidRPr="00854128" w:rsidRDefault="00257AE2" w:rsidP="00854128">
      <w:pPr>
        <w:pStyle w:val="tablas"/>
        <w:spacing w:before="0" w:after="0"/>
        <w:jc w:val="center"/>
        <w:rPr>
          <w:b w:val="0"/>
          <w:sz w:val="22"/>
          <w:szCs w:val="22"/>
          <w:lang w:val="es-EC" w:eastAsia="en-US"/>
        </w:rPr>
      </w:pPr>
      <w:bookmarkStart w:id="11" w:name="_Toc8000850"/>
      <w:r w:rsidRPr="00854128">
        <w:rPr>
          <w:b w:val="0"/>
          <w:sz w:val="22"/>
          <w:szCs w:val="22"/>
          <w:lang w:val="es-EC" w:eastAsia="en-US"/>
        </w:rPr>
        <w:lastRenderedPageBreak/>
        <w:t xml:space="preserve">Tabla </w:t>
      </w:r>
      <w:bookmarkStart w:id="12" w:name="_Toc8000851"/>
      <w:bookmarkEnd w:id="11"/>
      <w:r w:rsidR="006022B8">
        <w:rPr>
          <w:b w:val="0"/>
          <w:sz w:val="22"/>
          <w:szCs w:val="22"/>
          <w:lang w:val="es-EC" w:eastAsia="en-US"/>
        </w:rPr>
        <w:t>3</w:t>
      </w:r>
      <w:r w:rsidR="00854128" w:rsidRPr="00854128">
        <w:rPr>
          <w:b w:val="0"/>
          <w:sz w:val="22"/>
          <w:szCs w:val="22"/>
          <w:lang w:val="es-EC" w:eastAsia="en-US"/>
        </w:rPr>
        <w:t xml:space="preserve">. </w:t>
      </w:r>
      <w:r w:rsidRPr="00854128">
        <w:rPr>
          <w:b w:val="0"/>
          <w:sz w:val="22"/>
          <w:szCs w:val="22"/>
          <w:lang w:val="es-EC" w:eastAsia="en-US"/>
        </w:rPr>
        <w:t>Severidad del impacto por el lahar en las zonas de valoración</w:t>
      </w:r>
      <w:bookmarkEnd w:id="12"/>
    </w:p>
    <w:tbl>
      <w:tblPr>
        <w:tblStyle w:val="Tablanormal21"/>
        <w:tblW w:w="8647" w:type="dxa"/>
        <w:tblLook w:val="04A0" w:firstRow="1" w:lastRow="0" w:firstColumn="1" w:lastColumn="0" w:noHBand="0" w:noVBand="1"/>
      </w:tblPr>
      <w:tblGrid>
        <w:gridCol w:w="1145"/>
        <w:gridCol w:w="1937"/>
        <w:gridCol w:w="5594"/>
      </w:tblGrid>
      <w:tr w:rsidR="00257AE2" w:rsidRPr="00854128" w:rsidTr="00854128">
        <w:trPr>
          <w:cnfStyle w:val="100000000000" w:firstRow="1" w:lastRow="0" w:firstColumn="0" w:lastColumn="0" w:oddVBand="0" w:evenVBand="0" w:oddHBand="0"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tcBorders>
              <w:top w:val="single" w:sz="8" w:space="0" w:color="auto"/>
              <w:left w:val="nil"/>
              <w:bottom w:val="single" w:sz="4"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de valoración</w:t>
            </w:r>
          </w:p>
        </w:tc>
        <w:tc>
          <w:tcPr>
            <w:tcW w:w="1937" w:type="dxa"/>
            <w:tcBorders>
              <w:top w:val="single" w:sz="8" w:space="0" w:color="auto"/>
              <w:left w:val="nil"/>
              <w:bottom w:val="single" w:sz="4" w:space="0" w:color="auto"/>
              <w:right w:val="nil"/>
            </w:tcBorders>
            <w:noWrap/>
            <w:vAlign w:val="center"/>
            <w:hideMark/>
          </w:tcPr>
          <w:p w:rsidR="00257AE2" w:rsidRPr="003B715C" w:rsidRDefault="00257A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s-EC"/>
              </w:rPr>
            </w:pPr>
            <w:r w:rsidRPr="003B715C">
              <w:rPr>
                <w:rFonts w:ascii="Times New Roman" w:hAnsi="Times New Roman" w:cs="Times New Roman"/>
                <w:b w:val="0"/>
                <w:bCs w:val="0"/>
                <w:lang w:val="es-EC"/>
              </w:rPr>
              <w:t>Consecuencias</w:t>
            </w:r>
          </w:p>
        </w:tc>
        <w:tc>
          <w:tcPr>
            <w:tcW w:w="5594" w:type="dxa"/>
            <w:tcBorders>
              <w:top w:val="single" w:sz="8" w:space="0" w:color="auto"/>
              <w:left w:val="nil"/>
              <w:bottom w:val="single" w:sz="4" w:space="0" w:color="auto"/>
              <w:right w:val="nil"/>
            </w:tcBorders>
            <w:noWrap/>
            <w:vAlign w:val="center"/>
            <w:hideMark/>
          </w:tcPr>
          <w:p w:rsidR="00257AE2" w:rsidRPr="003B715C" w:rsidRDefault="00257A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 w:val="0"/>
                <w:bCs w:val="0"/>
                <w:lang w:val="es-EC"/>
              </w:rPr>
            </w:pPr>
            <w:r w:rsidRPr="003B715C">
              <w:rPr>
                <w:rFonts w:ascii="Times New Roman" w:hAnsi="Times New Roman" w:cs="Times New Roman"/>
                <w:b w:val="0"/>
                <w:bCs w:val="0"/>
                <w:lang w:val="es-EC"/>
              </w:rPr>
              <w:t>Severidad del impacto</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vMerge w:val="restart"/>
            <w:tcBorders>
              <w:top w:val="single" w:sz="4" w:space="0" w:color="auto"/>
              <w:left w:val="nil"/>
              <w:bottom w:val="single" w:sz="18"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1</w:t>
            </w: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Social/Cultural</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Todos los ESC están funcionalmente comprometidos.</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Construcciones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Todos los edificios están funcionalmente comprometidos.</w:t>
            </w:r>
          </w:p>
        </w:tc>
      </w:tr>
      <w:tr w:rsidR="00257AE2" w:rsidRPr="0085412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Instalaciones críticas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existen IC.</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Económico</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Mayor</w:t>
            </w:r>
            <w:r w:rsidRPr="003B715C">
              <w:rPr>
                <w:rFonts w:ascii="Times New Roman" w:hAnsi="Times New Roman" w:cs="Times New Roman"/>
                <w:lang w:val="es-EC"/>
              </w:rPr>
              <w:t xml:space="preserve"> – 1,87 % del PIB del cantón Quito.</w:t>
            </w:r>
          </w:p>
        </w:tc>
      </w:tr>
      <w:tr w:rsidR="00257AE2" w:rsidRPr="0085412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4"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Salud y Seguridad</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596 muertos, no heridos.</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1116" w:type="dxa"/>
            <w:vMerge w:val="restart"/>
            <w:tcBorders>
              <w:top w:val="single" w:sz="4" w:space="0" w:color="auto"/>
              <w:left w:val="nil"/>
              <w:bottom w:val="single" w:sz="18"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2</w:t>
            </w:r>
          </w:p>
        </w:tc>
        <w:tc>
          <w:tcPr>
            <w:tcW w:w="1937" w:type="dxa"/>
            <w:tcBorders>
              <w:top w:val="single" w:sz="4" w:space="0" w:color="auto"/>
              <w:left w:val="nil"/>
              <w:bottom w:val="nil"/>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Social/Cultural</w:t>
            </w:r>
          </w:p>
        </w:tc>
        <w:tc>
          <w:tcPr>
            <w:tcW w:w="5594" w:type="dxa"/>
            <w:tcBorders>
              <w:top w:val="single" w:sz="4" w:space="0" w:color="auto"/>
              <w:left w:val="nil"/>
              <w:bottom w:val="nil"/>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Todos los ESC están funcionalmente comprometidos.</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Construcciones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Todos los edificios están funcionalmente comprometidos.</w:t>
            </w:r>
          </w:p>
        </w:tc>
      </w:tr>
      <w:tr w:rsidR="00257AE2" w:rsidRPr="0085412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Instalaciones críticas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existen IC.</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Económico</w:t>
            </w:r>
          </w:p>
        </w:tc>
        <w:tc>
          <w:tcPr>
            <w:tcW w:w="5594" w:type="dxa"/>
            <w:tcBorders>
              <w:top w:val="single" w:sz="4" w:space="0" w:color="auto"/>
              <w:left w:val="nil"/>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 xml:space="preserve">Catastrófico </w:t>
            </w:r>
            <w:r w:rsidRPr="003B715C">
              <w:rPr>
                <w:rFonts w:ascii="Times New Roman" w:hAnsi="Times New Roman" w:cs="Times New Roman"/>
                <w:lang w:val="es-EC"/>
              </w:rPr>
              <w:t>– 74,35 % del PIB del cantón Rumiñahui.</w:t>
            </w:r>
          </w:p>
        </w:tc>
      </w:tr>
      <w:tr w:rsidR="00257AE2" w:rsidRPr="0085412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4"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Salud y Seguridad</w:t>
            </w:r>
          </w:p>
        </w:tc>
        <w:tc>
          <w:tcPr>
            <w:tcW w:w="5594" w:type="dxa"/>
            <w:tcBorders>
              <w:top w:val="nil"/>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738 muertos, no heridos.</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1116" w:type="dxa"/>
            <w:vMerge w:val="restart"/>
            <w:tcBorders>
              <w:top w:val="single" w:sz="4" w:space="0" w:color="auto"/>
              <w:left w:val="nil"/>
              <w:bottom w:val="single" w:sz="18"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3</w:t>
            </w: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Social/Cultural</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26,32% de los ESC están funcionalmente comprometidos.</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Construcciones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25% de los edificios están funcionalmente comprometidos.</w:t>
            </w:r>
          </w:p>
        </w:tc>
      </w:tr>
      <w:tr w:rsidR="00257AE2" w:rsidRPr="0085412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Instalaciones críticas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existen IC.</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Económico</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Mayor</w:t>
            </w:r>
            <w:r w:rsidRPr="003B715C">
              <w:rPr>
                <w:rFonts w:ascii="Times New Roman" w:hAnsi="Times New Roman" w:cs="Times New Roman"/>
                <w:lang w:val="es-EC"/>
              </w:rPr>
              <w:t xml:space="preserve"> – 6,01% del PIB del cantón Rumiñahui.</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4"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Salud y Seguridad</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muertos, no heridos.</w:t>
            </w:r>
          </w:p>
        </w:tc>
      </w:tr>
      <w:tr w:rsidR="00257AE2" w:rsidRPr="00854128" w:rsidTr="00854128">
        <w:trPr>
          <w:trHeight w:val="300"/>
        </w:trPr>
        <w:tc>
          <w:tcPr>
            <w:cnfStyle w:val="001000000000" w:firstRow="0" w:lastRow="0" w:firstColumn="1" w:lastColumn="0" w:oddVBand="0" w:evenVBand="0" w:oddHBand="0" w:evenHBand="0" w:firstRowFirstColumn="0" w:firstRowLastColumn="0" w:lastRowFirstColumn="0" w:lastRowLastColumn="0"/>
            <w:tcW w:w="1116" w:type="dxa"/>
            <w:vMerge w:val="restart"/>
            <w:tcBorders>
              <w:top w:val="single" w:sz="4" w:space="0" w:color="auto"/>
              <w:left w:val="nil"/>
              <w:bottom w:val="single" w:sz="18"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4</w:t>
            </w: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Social/Cultural</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existen ESC.</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Construcciones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Catastrófico</w:t>
            </w:r>
            <w:r w:rsidRPr="003B715C">
              <w:rPr>
                <w:rFonts w:ascii="Times New Roman" w:hAnsi="Times New Roman" w:cs="Times New Roman"/>
                <w:lang w:val="es-EC"/>
              </w:rPr>
              <w:t xml:space="preserve"> – 56% de los edificios están funcionalmente comprometidos.</w:t>
            </w:r>
          </w:p>
        </w:tc>
      </w:tr>
      <w:tr w:rsidR="00257AE2" w:rsidRPr="0085412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Instalaciones críticas</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existen IC.</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Económico</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Moderado</w:t>
            </w:r>
            <w:r w:rsidRPr="003B715C">
              <w:rPr>
                <w:rFonts w:ascii="Times New Roman" w:hAnsi="Times New Roman" w:cs="Times New Roman"/>
                <w:lang w:val="es-EC"/>
              </w:rPr>
              <w:t xml:space="preserve"> – 0,28% del PIB del cantón Quito.</w:t>
            </w:r>
          </w:p>
        </w:tc>
      </w:tr>
      <w:tr w:rsidR="00257AE2" w:rsidRPr="00770A98" w:rsidTr="00854128">
        <w:trPr>
          <w:trHeight w:val="300"/>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8"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Salud y Seguridad</w:t>
            </w:r>
          </w:p>
        </w:tc>
        <w:tc>
          <w:tcPr>
            <w:tcW w:w="5594" w:type="dxa"/>
            <w:tcBorders>
              <w:top w:val="single" w:sz="4" w:space="0" w:color="auto"/>
              <w:left w:val="nil"/>
              <w:bottom w:val="single" w:sz="8"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b/>
                <w:bCs/>
                <w:lang w:val="es-EC"/>
              </w:rPr>
              <w:t>Insignificante</w:t>
            </w:r>
            <w:r w:rsidRPr="003B715C">
              <w:rPr>
                <w:rFonts w:ascii="Times New Roman" w:hAnsi="Times New Roman" w:cs="Times New Roman"/>
                <w:lang w:val="es-EC"/>
              </w:rPr>
              <w:t xml:space="preserve"> – No muertos, no heridos.</w:t>
            </w:r>
          </w:p>
        </w:tc>
      </w:tr>
    </w:tbl>
    <w:p w:rsidR="003B715C" w:rsidRDefault="003B715C" w:rsidP="00257AE2">
      <w:pPr>
        <w:rPr>
          <w:sz w:val="24"/>
          <w:szCs w:val="24"/>
          <w:lang w:val="es-EC"/>
        </w:rPr>
      </w:pPr>
    </w:p>
    <w:p w:rsidR="00257AE2" w:rsidRPr="007B57CD" w:rsidRDefault="00257AE2" w:rsidP="00257AE2">
      <w:pPr>
        <w:rPr>
          <w:sz w:val="24"/>
          <w:szCs w:val="24"/>
          <w:lang w:val="es-EC"/>
        </w:rPr>
      </w:pPr>
      <w:r>
        <w:rPr>
          <w:rFonts w:asciiTheme="minorHAnsi" w:hAnsiTheme="minorHAnsi" w:cstheme="minorBidi"/>
          <w:noProof/>
          <w:sz w:val="22"/>
          <w:szCs w:val="22"/>
          <w:lang w:val="es-EC" w:eastAsia="es-EC"/>
        </w:rPr>
        <mc:AlternateContent>
          <mc:Choice Requires="wps">
            <w:drawing>
              <wp:anchor distT="0" distB="0" distL="114300" distR="114300" simplePos="0" relativeHeight="251660288" behindDoc="0" locked="0" layoutInCell="1" allowOverlap="1" wp14:anchorId="5889D989" wp14:editId="3B6B455F">
                <wp:simplePos x="0" y="0"/>
                <wp:positionH relativeFrom="margin">
                  <wp:align>left</wp:align>
                </wp:positionH>
                <wp:positionV relativeFrom="paragraph">
                  <wp:posOffset>46990</wp:posOffset>
                </wp:positionV>
                <wp:extent cx="5753100" cy="495300"/>
                <wp:effectExtent l="0" t="0" r="0" b="0"/>
                <wp:wrapSquare wrapText="bothSides"/>
                <wp:docPr id="21" name="Rectángulo 21"/>
                <wp:cNvGraphicFramePr/>
                <a:graphic xmlns:a="http://schemas.openxmlformats.org/drawingml/2006/main">
                  <a:graphicData uri="http://schemas.microsoft.com/office/word/2010/wordprocessingShape">
                    <wps:wsp>
                      <wps:cNvSpPr/>
                      <wps:spPr>
                        <a:xfrm>
                          <a:off x="0" y="0"/>
                          <a:ext cx="575310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0652A" w:rsidRDefault="00D0652A" w:rsidP="00257AE2">
                            <w:pPr>
                              <w:pStyle w:val="Sinespaciado"/>
                              <w:rPr>
                                <w:rFonts w:ascii="Times New Roman" w:hAnsi="Times New Roman"/>
                                <w:sz w:val="18"/>
                                <w:szCs w:val="18"/>
                                <w:lang w:val="es-EC"/>
                              </w:rPr>
                            </w:pPr>
                            <w:r>
                              <w:rPr>
                                <w:rFonts w:ascii="Times New Roman" w:hAnsi="Times New Roman"/>
                                <w:sz w:val="18"/>
                                <w:szCs w:val="18"/>
                                <w:lang w:val="es-EC"/>
                              </w:rPr>
                              <w:t>ESC= Edificio con significado social/cultural; IC= Infraestructura crítica; FS= Fuera de servicio; PPCA= Población del pueblo o ciudad afectada; Funcionalmente comprometido=</w:t>
                            </w:r>
                            <w:r>
                              <w:t xml:space="preserve"> </w:t>
                            </w:r>
                            <w:r>
                              <w:rPr>
                                <w:rFonts w:ascii="Times New Roman" w:hAnsi="Times New Roman"/>
                                <w:sz w:val="18"/>
                                <w:szCs w:val="18"/>
                                <w:lang w:val="es-EC"/>
                              </w:rPr>
                              <w:t>el edificio no puede ser usado para su propósito inmediatamente después del evento.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89D989" id="Rectángulo 21" o:spid="_x0000_s1026" style="position:absolute;margin-left:0;margin-top:3.7pt;width:453pt;height:39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" filled="f" stroked="f">
                <v:textbox>
                  <w:txbxContent>
                    <w:p w:rsidR="00D0652A" w:rsidRDefault="00D0652A" w:rsidP="00257AE2">
                      <w:pPr>
                        <w:pStyle w:val="Sinespaciado"/>
                        <w:rPr>
                          <w:rFonts w:ascii="Times New Roman" w:hAnsi="Times New Roman"/>
                          <w:sz w:val="18"/>
                          <w:szCs w:val="18"/>
                          <w:lang w:val="es-EC"/>
                        </w:rPr>
                      </w:pPr>
                      <w:r>
                        <w:rPr>
                          <w:rFonts w:ascii="Times New Roman" w:hAnsi="Times New Roman"/>
                          <w:sz w:val="18"/>
                          <w:szCs w:val="18"/>
                          <w:lang w:val="es-EC"/>
                        </w:rPr>
                        <w:t>ESC= Edificio con significado social/cultural; IC= Infraestructura crítica; FS= Fuera de servicio; PPCA= Población del pueblo o ciudad afectada; Funcionalmente comprometido=</w:t>
                      </w:r>
                      <w:r>
                        <w:t xml:space="preserve"> </w:t>
                      </w:r>
                      <w:r>
                        <w:rPr>
                          <w:rFonts w:ascii="Times New Roman" w:hAnsi="Times New Roman"/>
                          <w:sz w:val="18"/>
                          <w:szCs w:val="18"/>
                          <w:lang w:val="es-EC"/>
                        </w:rPr>
                        <w:t>el edificio no puede ser usado para su propósito inmediatamente después del evento.</w:t>
                      </w:r>
                    </w:p>
                  </w:txbxContent>
                </v:textbox>
                <w10:wrap type="square" anchorx="margin"/>
              </v:rect>
            </w:pict>
          </mc:Fallback>
        </mc:AlternateContent>
      </w:r>
    </w:p>
    <w:p w:rsidR="006022B8" w:rsidRDefault="00854128" w:rsidP="006022B8">
      <w:pPr>
        <w:pStyle w:val="Textoindependiente"/>
        <w:ind w:firstLine="567"/>
        <w:contextualSpacing/>
        <w:jc w:val="both"/>
        <w:rPr>
          <w:rFonts w:eastAsia="MS Mincho"/>
          <w:sz w:val="24"/>
          <w:szCs w:val="24"/>
          <w:lang w:val="es-EC"/>
        </w:rPr>
      </w:pPr>
      <w:bookmarkStart w:id="13" w:name="_Toc8000854"/>
      <w:r w:rsidRPr="008A6EC7">
        <w:rPr>
          <w:rFonts w:eastAsia="MS Mincho"/>
          <w:sz w:val="24"/>
          <w:szCs w:val="24"/>
          <w:lang w:val="es-EC"/>
        </w:rPr>
        <w:t>El nivel de consecuencias en los servicios vitales fue evaluado por separado ya que la afectación a estos servicios se cuantifica a nivel de toda la población y no únicamente dentro de las zonas de valoración. Tras aplicar la tabla multi-riesgos la severidad del impacto para las poblaciones urbanas del GADMUR y el DMQ</w:t>
      </w:r>
      <w:r w:rsidR="0046362F">
        <w:rPr>
          <w:rFonts w:eastAsia="MS Mincho"/>
          <w:sz w:val="24"/>
          <w:szCs w:val="24"/>
          <w:lang w:val="es-EC"/>
        </w:rPr>
        <w:t>,</w:t>
      </w:r>
      <w:r w:rsidRPr="008A6EC7">
        <w:rPr>
          <w:rFonts w:eastAsia="MS Mincho"/>
          <w:sz w:val="24"/>
          <w:szCs w:val="24"/>
          <w:lang w:val="es-EC"/>
        </w:rPr>
        <w:t xml:space="preserve"> </w:t>
      </w:r>
      <w:r w:rsidR="0046362F">
        <w:rPr>
          <w:rFonts w:eastAsia="MS Mincho"/>
          <w:sz w:val="24"/>
          <w:szCs w:val="24"/>
          <w:lang w:val="es-EC"/>
        </w:rPr>
        <w:t xml:space="preserve">los </w:t>
      </w:r>
      <w:r w:rsidR="0046362F" w:rsidRPr="0046362F">
        <w:rPr>
          <w:rFonts w:eastAsia="MS Mincho"/>
          <w:sz w:val="24"/>
          <w:szCs w:val="24"/>
          <w:lang w:val="es-EC"/>
        </w:rPr>
        <w:t>porcentaje</w:t>
      </w:r>
      <w:r w:rsidR="0046362F">
        <w:rPr>
          <w:rFonts w:eastAsia="MS Mincho"/>
          <w:sz w:val="24"/>
          <w:szCs w:val="24"/>
          <w:lang w:val="es-EC"/>
        </w:rPr>
        <w:t xml:space="preserve">s de </w:t>
      </w:r>
      <w:r w:rsidR="0046362F" w:rsidRPr="0046362F">
        <w:rPr>
          <w:rFonts w:eastAsia="MS Mincho"/>
          <w:sz w:val="24"/>
          <w:szCs w:val="24"/>
          <w:lang w:val="es-EC"/>
        </w:rPr>
        <w:t xml:space="preserve">población urbana afectada por el desabastecimiento o paralización </w:t>
      </w:r>
      <w:r w:rsidR="0046362F">
        <w:rPr>
          <w:rFonts w:eastAsia="MS Mincho"/>
          <w:sz w:val="24"/>
          <w:szCs w:val="24"/>
          <w:lang w:val="es-EC"/>
        </w:rPr>
        <w:t>de cada</w:t>
      </w:r>
      <w:r w:rsidR="0046362F" w:rsidRPr="0046362F">
        <w:rPr>
          <w:rFonts w:eastAsia="MS Mincho"/>
          <w:sz w:val="24"/>
          <w:szCs w:val="24"/>
          <w:lang w:val="es-EC"/>
        </w:rPr>
        <w:t xml:space="preserve"> servicio</w:t>
      </w:r>
      <w:r w:rsidR="0046362F">
        <w:rPr>
          <w:rFonts w:eastAsia="MS Mincho"/>
          <w:sz w:val="24"/>
          <w:szCs w:val="24"/>
          <w:lang w:val="es-EC"/>
        </w:rPr>
        <w:t xml:space="preserve"> es indicado en la Tabla </w:t>
      </w:r>
      <w:r w:rsidR="006022B8">
        <w:rPr>
          <w:rFonts w:eastAsia="MS Mincho"/>
          <w:sz w:val="24"/>
          <w:szCs w:val="24"/>
          <w:lang w:val="es-EC"/>
        </w:rPr>
        <w:t>4</w:t>
      </w:r>
      <w:r w:rsidR="0046362F" w:rsidRPr="0046362F">
        <w:rPr>
          <w:rFonts w:eastAsia="MS Mincho"/>
          <w:sz w:val="24"/>
          <w:szCs w:val="24"/>
          <w:lang w:val="es-EC"/>
        </w:rPr>
        <w:t>, siendo la principal afectación en lo correspondiente al abastecimiento de agua potable, especialmente para el GADMUR.</w:t>
      </w:r>
    </w:p>
    <w:p w:rsidR="00257AE2" w:rsidRPr="006022B8" w:rsidRDefault="00257AE2" w:rsidP="006022B8">
      <w:pPr>
        <w:pStyle w:val="Textoindependiente"/>
        <w:ind w:firstLine="567"/>
        <w:contextualSpacing/>
        <w:jc w:val="center"/>
        <w:rPr>
          <w:sz w:val="22"/>
          <w:szCs w:val="22"/>
          <w:lang w:val="es-EC"/>
        </w:rPr>
      </w:pPr>
      <w:r w:rsidRPr="006022B8">
        <w:rPr>
          <w:sz w:val="22"/>
          <w:szCs w:val="22"/>
          <w:lang w:val="es-EC"/>
        </w:rPr>
        <w:lastRenderedPageBreak/>
        <w:t xml:space="preserve">Tabla </w:t>
      </w:r>
      <w:bookmarkStart w:id="14" w:name="_Toc8000855"/>
      <w:bookmarkEnd w:id="13"/>
      <w:r w:rsidR="006022B8" w:rsidRPr="006022B8">
        <w:rPr>
          <w:sz w:val="22"/>
          <w:szCs w:val="22"/>
          <w:lang w:val="es-EC"/>
        </w:rPr>
        <w:t>4</w:t>
      </w:r>
      <w:r w:rsidR="00854128" w:rsidRPr="006022B8">
        <w:rPr>
          <w:sz w:val="22"/>
          <w:szCs w:val="22"/>
          <w:lang w:val="es-EC"/>
        </w:rPr>
        <w:t xml:space="preserve">. </w:t>
      </w:r>
      <w:r w:rsidRPr="006022B8">
        <w:rPr>
          <w:sz w:val="22"/>
          <w:szCs w:val="22"/>
          <w:lang w:val="es-EC"/>
        </w:rPr>
        <w:t>Severidad del impacto por el lahar en la población urbana</w:t>
      </w:r>
      <w:bookmarkEnd w:id="14"/>
    </w:p>
    <w:tbl>
      <w:tblPr>
        <w:tblStyle w:val="Tablanormal21"/>
        <w:tblW w:w="8670" w:type="dxa"/>
        <w:jc w:val="center"/>
        <w:tblLook w:val="04A0" w:firstRow="1" w:lastRow="0" w:firstColumn="1" w:lastColumn="0" w:noHBand="0" w:noVBand="1"/>
      </w:tblPr>
      <w:tblGrid>
        <w:gridCol w:w="1194"/>
        <w:gridCol w:w="1937"/>
        <w:gridCol w:w="5594"/>
      </w:tblGrid>
      <w:tr w:rsidR="00257AE2" w:rsidRPr="0046362F" w:rsidTr="00854128">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9" w:type="dxa"/>
            <w:tcBorders>
              <w:top w:val="single" w:sz="8" w:space="0" w:color="auto"/>
              <w:left w:val="nil"/>
              <w:bottom w:val="single" w:sz="4" w:space="0" w:color="auto"/>
              <w:right w:val="nil"/>
            </w:tcBorders>
            <w:noWrap/>
            <w:vAlign w:val="center"/>
            <w:hideMark/>
          </w:tcPr>
          <w:p w:rsidR="00257AE2" w:rsidRPr="003B715C" w:rsidRDefault="00257AE2">
            <w:pPr>
              <w:jc w:val="center"/>
              <w:rPr>
                <w:rFonts w:ascii="Times New Roman" w:hAnsi="Times New Roman" w:cs="Times New Roman"/>
                <w:bCs w:val="0"/>
                <w:lang w:val="es-EC"/>
              </w:rPr>
            </w:pPr>
            <w:r w:rsidRPr="003B715C">
              <w:rPr>
                <w:rFonts w:ascii="Times New Roman" w:hAnsi="Times New Roman" w:cs="Times New Roman"/>
                <w:bCs w:val="0"/>
                <w:lang w:val="es-EC"/>
              </w:rPr>
              <w:t>Población</w:t>
            </w:r>
          </w:p>
        </w:tc>
        <w:tc>
          <w:tcPr>
            <w:tcW w:w="1937" w:type="dxa"/>
            <w:tcBorders>
              <w:top w:val="single" w:sz="8" w:space="0" w:color="auto"/>
              <w:left w:val="nil"/>
              <w:bottom w:val="single" w:sz="4" w:space="0" w:color="auto"/>
              <w:right w:val="nil"/>
            </w:tcBorders>
            <w:noWrap/>
            <w:vAlign w:val="center"/>
            <w:hideMark/>
          </w:tcPr>
          <w:p w:rsidR="00257AE2" w:rsidRPr="003B715C" w:rsidRDefault="00257A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Consecuencias</w:t>
            </w:r>
          </w:p>
        </w:tc>
        <w:tc>
          <w:tcPr>
            <w:tcW w:w="5594" w:type="dxa"/>
            <w:tcBorders>
              <w:top w:val="single" w:sz="8" w:space="0" w:color="auto"/>
              <w:left w:val="nil"/>
              <w:bottom w:val="single" w:sz="4" w:space="0" w:color="auto"/>
              <w:right w:val="nil"/>
            </w:tcBorders>
            <w:noWrap/>
            <w:vAlign w:val="center"/>
            <w:hideMark/>
          </w:tcPr>
          <w:p w:rsidR="00257AE2" w:rsidRPr="003B715C" w:rsidRDefault="00257AE2">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Severidad del impacto</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single" w:sz="4" w:space="0" w:color="auto"/>
              <w:left w:val="nil"/>
              <w:bottom w:val="nil"/>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DMQ</w:t>
            </w: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Agua potable</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Catastrófico – El 32,79 % de la población urbana tendría racionamientos por al menos 8 meses.</w:t>
            </w:r>
          </w:p>
        </w:tc>
      </w:tr>
      <w:tr w:rsidR="00257AE2" w:rsidRPr="00770A98" w:rsidTr="008541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nil"/>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Alcantarillado</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Insignificante – El 0,64 % de la población urbana no tendría el servicio por tiempo indefinido.</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nil"/>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Electricidad</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Insignificante – El 0,64 % de la población urbana no tendría el servicio por al menos 3 meses.</w:t>
            </w:r>
          </w:p>
        </w:tc>
      </w:tr>
      <w:tr w:rsidR="00257AE2" w:rsidRPr="00770A98" w:rsidTr="008541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4"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Transporte</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Insignificante – El 0,64 % de la población urbana tendría un servicio limitado por al menos 2 meses.</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1139" w:type="dxa"/>
            <w:vMerge w:val="restart"/>
            <w:tcBorders>
              <w:top w:val="single" w:sz="4" w:space="0" w:color="auto"/>
              <w:left w:val="nil"/>
              <w:bottom w:val="single" w:sz="18" w:space="0" w:color="auto"/>
              <w:right w:val="nil"/>
            </w:tcBorders>
            <w:noWrap/>
            <w:vAlign w:val="center"/>
            <w:hideMark/>
          </w:tcPr>
          <w:p w:rsidR="00257AE2" w:rsidRPr="003B715C" w:rsidRDefault="00257AE2">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GADMUR</w:t>
            </w: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C"/>
              </w:rPr>
            </w:pPr>
            <w:r w:rsidRPr="003B715C">
              <w:rPr>
                <w:rFonts w:ascii="Times New Roman" w:hAnsi="Times New Roman" w:cs="Times New Roman"/>
                <w:bCs/>
                <w:lang w:val="es-EC"/>
              </w:rPr>
              <w:t>Agua potable</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bCs/>
                <w:lang w:val="es-EC"/>
              </w:rPr>
            </w:pPr>
            <w:r w:rsidRPr="003B715C">
              <w:rPr>
                <w:rFonts w:ascii="Times New Roman" w:hAnsi="Times New Roman" w:cs="Times New Roman"/>
                <w:bCs/>
                <w:lang w:val="es-EC"/>
              </w:rPr>
              <w:t>Catastrófico</w:t>
            </w:r>
            <w:r w:rsidRPr="003B715C">
              <w:rPr>
                <w:rFonts w:ascii="Times New Roman" w:hAnsi="Times New Roman" w:cs="Times New Roman"/>
                <w:b/>
                <w:bCs/>
                <w:lang w:val="es-EC"/>
              </w:rPr>
              <w:t xml:space="preserve"> – </w:t>
            </w:r>
            <w:r w:rsidRPr="003B715C">
              <w:rPr>
                <w:rFonts w:ascii="Times New Roman" w:hAnsi="Times New Roman" w:cs="Times New Roman"/>
                <w:lang w:val="es-EC"/>
              </w:rPr>
              <w:t>El 50 % de la población urbana tendría racionamientos por más de un mes.</w:t>
            </w:r>
          </w:p>
        </w:tc>
      </w:tr>
      <w:tr w:rsidR="00257AE2" w:rsidRPr="00770A98" w:rsidTr="008541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Alcantarillado</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Catastrófico – El 29,16 % de la población urbana no tendría el servicio por tiempo indefinido.</w:t>
            </w:r>
          </w:p>
        </w:tc>
      </w:tr>
      <w:tr w:rsidR="00257AE2" w:rsidRPr="00770A98" w:rsidTr="0085412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1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4" w:space="0" w:color="auto"/>
              <w:right w:val="nil"/>
            </w:tcBorders>
            <w:noWrap/>
            <w:vAlign w:val="center"/>
            <w:hideMark/>
          </w:tcPr>
          <w:p w:rsidR="00257AE2" w:rsidRPr="003B715C" w:rsidRDefault="00257AE2">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Electricidad</w:t>
            </w:r>
          </w:p>
        </w:tc>
        <w:tc>
          <w:tcPr>
            <w:tcW w:w="5594" w:type="dxa"/>
            <w:tcBorders>
              <w:top w:val="single" w:sz="4" w:space="0" w:color="auto"/>
              <w:left w:val="nil"/>
              <w:bottom w:val="single" w:sz="4" w:space="0" w:color="auto"/>
              <w:right w:val="nil"/>
            </w:tcBorders>
            <w:noWrap/>
            <w:vAlign w:val="center"/>
            <w:hideMark/>
          </w:tcPr>
          <w:p w:rsidR="00257AE2" w:rsidRPr="003B715C" w:rsidRDefault="00257AE2">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Catastrófico – El 29,16 % de la población urbana no tendría el servicio por al menos 3 meses.</w:t>
            </w:r>
          </w:p>
        </w:tc>
      </w:tr>
      <w:tr w:rsidR="00257AE2" w:rsidRPr="00770A98" w:rsidTr="0085412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vMerge/>
            <w:tcBorders>
              <w:top w:val="single" w:sz="18" w:space="0" w:color="auto"/>
              <w:left w:val="nil"/>
              <w:bottom w:val="single" w:sz="8" w:space="0" w:color="auto"/>
              <w:right w:val="nil"/>
            </w:tcBorders>
            <w:vAlign w:val="center"/>
            <w:hideMark/>
          </w:tcPr>
          <w:p w:rsidR="00257AE2" w:rsidRPr="003B715C" w:rsidRDefault="00257AE2">
            <w:pPr>
              <w:rPr>
                <w:rFonts w:ascii="Times New Roman" w:hAnsi="Times New Roman" w:cs="Times New Roman"/>
                <w:lang w:val="es-EC"/>
              </w:rPr>
            </w:pPr>
          </w:p>
        </w:tc>
        <w:tc>
          <w:tcPr>
            <w:tcW w:w="1937" w:type="dxa"/>
            <w:tcBorders>
              <w:top w:val="single" w:sz="4" w:space="0" w:color="auto"/>
              <w:left w:val="nil"/>
              <w:bottom w:val="single" w:sz="8" w:space="0" w:color="auto"/>
              <w:right w:val="nil"/>
            </w:tcBorders>
            <w:noWrap/>
            <w:vAlign w:val="center"/>
            <w:hideMark/>
          </w:tcPr>
          <w:p w:rsidR="00257AE2" w:rsidRPr="003B715C" w:rsidRDefault="00257AE2">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Transporte</w:t>
            </w:r>
          </w:p>
        </w:tc>
        <w:tc>
          <w:tcPr>
            <w:tcW w:w="5594" w:type="dxa"/>
            <w:tcBorders>
              <w:top w:val="single" w:sz="4" w:space="0" w:color="auto"/>
              <w:left w:val="nil"/>
              <w:bottom w:val="single" w:sz="8" w:space="0" w:color="auto"/>
              <w:right w:val="nil"/>
            </w:tcBorders>
            <w:noWrap/>
            <w:vAlign w:val="center"/>
            <w:hideMark/>
          </w:tcPr>
          <w:p w:rsidR="00257AE2" w:rsidRPr="003B715C" w:rsidRDefault="00257AE2">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Catastrófico – El 29,16 % de la población urbana tendría un servicio limitado por al menos 2 meses.</w:t>
            </w:r>
          </w:p>
        </w:tc>
      </w:tr>
    </w:tbl>
    <w:p w:rsidR="0051626A" w:rsidRDefault="0051626A" w:rsidP="00C85FCA">
      <w:pPr>
        <w:rPr>
          <w:rFonts w:eastAsia="MS Mincho"/>
          <w:i/>
          <w:sz w:val="24"/>
          <w:szCs w:val="24"/>
          <w:lang w:val="es-EC"/>
        </w:rPr>
      </w:pPr>
    </w:p>
    <w:p w:rsidR="003B715C" w:rsidRDefault="003B715C" w:rsidP="00C85FCA">
      <w:pPr>
        <w:rPr>
          <w:rFonts w:eastAsia="MS Mincho"/>
          <w:i/>
          <w:sz w:val="24"/>
          <w:szCs w:val="24"/>
          <w:lang w:val="es-EC"/>
        </w:rPr>
      </w:pPr>
    </w:p>
    <w:p w:rsidR="00C85FCA" w:rsidRDefault="00C85FCA" w:rsidP="00C85FCA">
      <w:pPr>
        <w:rPr>
          <w:rFonts w:eastAsia="MS Mincho"/>
          <w:i/>
          <w:sz w:val="24"/>
          <w:szCs w:val="24"/>
          <w:lang w:val="es-EC"/>
        </w:rPr>
      </w:pPr>
      <w:r>
        <w:rPr>
          <w:rFonts w:eastAsia="MS Mincho"/>
          <w:i/>
          <w:sz w:val="24"/>
          <w:szCs w:val="24"/>
          <w:lang w:val="es-EC"/>
        </w:rPr>
        <w:t>Tratamiento del riesgo</w:t>
      </w:r>
    </w:p>
    <w:p w:rsidR="00257AE2" w:rsidRDefault="00257AE2" w:rsidP="00C85FCA">
      <w:pPr>
        <w:rPr>
          <w:rFonts w:eastAsia="MS Mincho"/>
          <w:i/>
          <w:sz w:val="24"/>
          <w:szCs w:val="24"/>
          <w:lang w:val="es-EC"/>
        </w:rPr>
      </w:pPr>
    </w:p>
    <w:p w:rsidR="00257AE2" w:rsidRDefault="007B57CD" w:rsidP="0046362F">
      <w:pPr>
        <w:pStyle w:val="Textoindependiente"/>
        <w:ind w:firstLine="567"/>
        <w:contextualSpacing/>
        <w:jc w:val="both"/>
        <w:rPr>
          <w:rFonts w:eastAsia="MS Mincho"/>
          <w:sz w:val="24"/>
          <w:szCs w:val="24"/>
          <w:lang w:val="es-EC"/>
        </w:rPr>
      </w:pPr>
      <w:r>
        <w:rPr>
          <w:rFonts w:eastAsia="MS Mincho"/>
          <w:sz w:val="24"/>
          <w:szCs w:val="24"/>
          <w:lang w:val="es-EC"/>
        </w:rPr>
        <w:t>En los mapas de la</w:t>
      </w:r>
      <w:r w:rsidR="0046362F" w:rsidRPr="0046362F">
        <w:rPr>
          <w:rFonts w:eastAsia="MS Mincho"/>
          <w:sz w:val="24"/>
          <w:szCs w:val="24"/>
          <w:lang w:val="es-EC"/>
        </w:rPr>
        <w:t xml:space="preserve"> Figura 8</w:t>
      </w:r>
      <w:r>
        <w:rPr>
          <w:rFonts w:eastAsia="MS Mincho"/>
          <w:sz w:val="24"/>
          <w:szCs w:val="24"/>
          <w:lang w:val="es-EC"/>
        </w:rPr>
        <w:t>, se muestran los predios localizados en cada una de las tres áreas de aplicación, así como los niveles de riesgos asignados a los mismos. Se observa que los predios más cercanos al río, como se ve de color rojo en el mapa de la derecha son los más vulnerables y por consiguiente las acciones recomendadas en las AP 1 y AP 2 son más estrictas que las del AP 3.</w:t>
      </w:r>
    </w:p>
    <w:p w:rsidR="003B715C" w:rsidRPr="0046362F" w:rsidRDefault="003B715C" w:rsidP="0046362F">
      <w:pPr>
        <w:pStyle w:val="Textoindependiente"/>
        <w:ind w:firstLine="567"/>
        <w:contextualSpacing/>
        <w:jc w:val="both"/>
        <w:rPr>
          <w:rFonts w:eastAsia="MS Mincho"/>
          <w:sz w:val="24"/>
          <w:szCs w:val="24"/>
          <w:lang w:val="es-EC"/>
        </w:rPr>
      </w:pPr>
    </w:p>
    <w:p w:rsidR="00257AE2" w:rsidRPr="00110E97" w:rsidRDefault="00257AE2" w:rsidP="00257AE2">
      <w:pPr>
        <w:jc w:val="center"/>
        <w:rPr>
          <w:sz w:val="24"/>
          <w:szCs w:val="24"/>
          <w:lang w:val="es-EC"/>
        </w:rPr>
      </w:pPr>
      <w:r>
        <w:rPr>
          <w:noProof/>
          <w:sz w:val="24"/>
          <w:szCs w:val="24"/>
          <w:lang w:val="es-EC" w:eastAsia="es-EC"/>
        </w:rPr>
        <w:drawing>
          <wp:inline distT="0" distB="0" distL="0" distR="0" wp14:anchorId="1D5116DE" wp14:editId="4AE715D2">
            <wp:extent cx="2837815" cy="3038475"/>
            <wp:effectExtent l="0" t="0" r="63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2"/>
                    <pic:cNvPicPr>
                      <a:picLocks noChangeAspect="1" noChangeArrowheads="1"/>
                    </pic:cNvPicPr>
                  </pic:nvPicPr>
                  <pic:blipFill>
                    <a:blip r:embed="rId19">
                      <a:extLst>
                        <a:ext uri="{28A0092B-C50C-407E-A947-70E740481C1C}">
                          <a14:useLocalDpi xmlns:a14="http://schemas.microsoft.com/office/drawing/2010/main" val="0"/>
                        </a:ext>
                      </a:extLst>
                    </a:blip>
                    <a:srcRect t="2" b="-620"/>
                    <a:stretch>
                      <a:fillRect/>
                    </a:stretch>
                  </pic:blipFill>
                  <pic:spPr bwMode="auto">
                    <a:xfrm>
                      <a:off x="0" y="0"/>
                      <a:ext cx="2856913" cy="3058923"/>
                    </a:xfrm>
                    <a:prstGeom prst="rect">
                      <a:avLst/>
                    </a:prstGeom>
                    <a:noFill/>
                    <a:ln>
                      <a:noFill/>
                    </a:ln>
                  </pic:spPr>
                </pic:pic>
              </a:graphicData>
            </a:graphic>
          </wp:inline>
        </w:drawing>
      </w:r>
      <w:r w:rsidR="00110E97" w:rsidRPr="00110E97">
        <w:rPr>
          <w:noProof/>
          <w:sz w:val="24"/>
          <w:szCs w:val="24"/>
          <w:lang w:val="es-EC" w:eastAsia="es-EC"/>
        </w:rPr>
        <w:t xml:space="preserve"> </w:t>
      </w:r>
      <w:r w:rsidR="00110E97">
        <w:rPr>
          <w:noProof/>
          <w:sz w:val="24"/>
          <w:szCs w:val="24"/>
          <w:lang w:val="es-EC" w:eastAsia="es-EC"/>
        </w:rPr>
        <w:drawing>
          <wp:inline distT="0" distB="0" distL="0" distR="0" wp14:anchorId="1E3CE498" wp14:editId="211A63C0">
            <wp:extent cx="2852420" cy="3047912"/>
            <wp:effectExtent l="0" t="0" r="5080" b="63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3"/>
                    <pic:cNvPicPr>
                      <a:picLocks noChangeAspect="1" noChangeArrowheads="1"/>
                    </pic:cNvPicPr>
                  </pic:nvPicPr>
                  <pic:blipFill rotWithShape="1">
                    <a:blip r:embed="rId20">
                      <a:extLst>
                        <a:ext uri="{28A0092B-C50C-407E-A947-70E740481C1C}">
                          <a14:useLocalDpi xmlns:a14="http://schemas.microsoft.com/office/drawing/2010/main" val="0"/>
                        </a:ext>
                      </a:extLst>
                    </a:blip>
                    <a:srcRect t="390" b="-592"/>
                    <a:stretch/>
                  </pic:blipFill>
                  <pic:spPr bwMode="auto">
                    <a:xfrm>
                      <a:off x="0" y="0"/>
                      <a:ext cx="2870185" cy="3066894"/>
                    </a:xfrm>
                    <a:prstGeom prst="rect">
                      <a:avLst/>
                    </a:prstGeom>
                    <a:noFill/>
                    <a:ln>
                      <a:noFill/>
                    </a:ln>
                    <a:extLst>
                      <a:ext uri="{53640926-AAD7-44D8-BBD7-CCE9431645EC}">
                        <a14:shadowObscured xmlns:a14="http://schemas.microsoft.com/office/drawing/2010/main"/>
                      </a:ext>
                    </a:extLst>
                  </pic:spPr>
                </pic:pic>
              </a:graphicData>
            </a:graphic>
          </wp:inline>
        </w:drawing>
      </w:r>
    </w:p>
    <w:p w:rsidR="00257AE2" w:rsidRDefault="0046362F" w:rsidP="0046362F">
      <w:pPr>
        <w:pStyle w:val="figuras"/>
        <w:tabs>
          <w:tab w:val="left" w:pos="5529"/>
        </w:tabs>
        <w:spacing w:before="0" w:after="0"/>
        <w:jc w:val="center"/>
        <w:rPr>
          <w:b w:val="0"/>
          <w:i w:val="0"/>
          <w:sz w:val="22"/>
          <w:szCs w:val="22"/>
          <w:lang w:val="es-EC"/>
        </w:rPr>
      </w:pPr>
      <w:bookmarkStart w:id="15" w:name="_Toc8000794"/>
      <w:r w:rsidRPr="0046362F">
        <w:rPr>
          <w:b w:val="0"/>
          <w:i w:val="0"/>
          <w:sz w:val="22"/>
          <w:szCs w:val="22"/>
          <w:lang w:val="es-EC" w:eastAsia="en-US"/>
        </w:rPr>
        <w:t>Figura 8</w:t>
      </w:r>
      <w:r w:rsidR="00257AE2" w:rsidRPr="0046362F">
        <w:rPr>
          <w:b w:val="0"/>
          <w:i w:val="0"/>
          <w:sz w:val="22"/>
          <w:szCs w:val="22"/>
          <w:lang w:val="es-EC" w:eastAsia="en-US"/>
        </w:rPr>
        <w:t xml:space="preserve">. </w:t>
      </w:r>
      <w:r w:rsidR="00110E97" w:rsidRPr="0046362F">
        <w:rPr>
          <w:b w:val="0"/>
          <w:i w:val="0"/>
          <w:sz w:val="22"/>
          <w:szCs w:val="22"/>
          <w:lang w:val="es-EC" w:eastAsia="en-US"/>
        </w:rPr>
        <w:t xml:space="preserve"> </w:t>
      </w:r>
      <w:r w:rsidR="00257AE2" w:rsidRPr="0046362F">
        <w:rPr>
          <w:b w:val="0"/>
          <w:i w:val="0"/>
          <w:sz w:val="22"/>
          <w:szCs w:val="22"/>
          <w:lang w:val="es-EC" w:eastAsia="en-US"/>
        </w:rPr>
        <w:t>Áreas de aplicación delimitadas a nivel predial</w:t>
      </w:r>
      <w:bookmarkStart w:id="16" w:name="_Toc8000795"/>
      <w:bookmarkEnd w:id="15"/>
      <w:r w:rsidR="00110E97" w:rsidRPr="0046362F">
        <w:rPr>
          <w:b w:val="0"/>
          <w:i w:val="0"/>
          <w:sz w:val="22"/>
          <w:szCs w:val="22"/>
          <w:lang w:val="es-EC" w:eastAsia="en-US"/>
        </w:rPr>
        <w:t xml:space="preserve"> (izq.), a</w:t>
      </w:r>
      <w:r w:rsidR="00257AE2" w:rsidRPr="0046362F">
        <w:rPr>
          <w:b w:val="0"/>
          <w:i w:val="0"/>
          <w:sz w:val="22"/>
          <w:szCs w:val="22"/>
          <w:lang w:val="es-EC"/>
        </w:rPr>
        <w:t>signación de los niveles de riesgo a los predios</w:t>
      </w:r>
      <w:bookmarkEnd w:id="16"/>
      <w:r w:rsidR="00110E97" w:rsidRPr="0046362F">
        <w:rPr>
          <w:b w:val="0"/>
          <w:i w:val="0"/>
          <w:sz w:val="22"/>
          <w:szCs w:val="22"/>
          <w:lang w:val="es-EC"/>
        </w:rPr>
        <w:t xml:space="preserve"> (der.)</w:t>
      </w:r>
    </w:p>
    <w:p w:rsidR="006022B8" w:rsidRDefault="006022B8" w:rsidP="006022B8">
      <w:pPr>
        <w:pStyle w:val="Textoindependiente"/>
        <w:ind w:firstLine="567"/>
        <w:contextualSpacing/>
        <w:jc w:val="both"/>
        <w:rPr>
          <w:rFonts w:eastAsia="MS Mincho"/>
          <w:sz w:val="24"/>
          <w:szCs w:val="24"/>
          <w:lang w:val="es-EC"/>
        </w:rPr>
      </w:pPr>
      <w:r>
        <w:rPr>
          <w:rFonts w:eastAsia="MS Mincho"/>
          <w:sz w:val="24"/>
          <w:szCs w:val="24"/>
          <w:lang w:val="es-EC"/>
        </w:rPr>
        <w:lastRenderedPageBreak/>
        <w:t xml:space="preserve">En la Tabla </w:t>
      </w:r>
      <w:r w:rsidR="00A422CF">
        <w:rPr>
          <w:rFonts w:eastAsia="MS Mincho"/>
          <w:sz w:val="24"/>
          <w:szCs w:val="24"/>
          <w:lang w:val="es-EC"/>
        </w:rPr>
        <w:t>5</w:t>
      </w:r>
      <w:r w:rsidRPr="00464981">
        <w:rPr>
          <w:rFonts w:eastAsia="MS Mincho"/>
          <w:sz w:val="24"/>
          <w:szCs w:val="24"/>
          <w:lang w:val="es-EC"/>
        </w:rPr>
        <w:t xml:space="preserve"> </w:t>
      </w:r>
      <w:r w:rsidR="00A422CF">
        <w:rPr>
          <w:rFonts w:eastAsia="MS Mincho"/>
          <w:sz w:val="24"/>
          <w:szCs w:val="24"/>
          <w:lang w:val="es-EC"/>
        </w:rPr>
        <w:t>están enlistadas</w:t>
      </w:r>
      <w:r w:rsidRPr="00464981">
        <w:rPr>
          <w:rFonts w:eastAsia="MS Mincho"/>
          <w:sz w:val="24"/>
          <w:szCs w:val="24"/>
          <w:lang w:val="es-EC"/>
        </w:rPr>
        <w:t xml:space="preserve"> las acciones que deberían ser implementadas para tratar el ri</w:t>
      </w:r>
      <w:r w:rsidR="00A422CF">
        <w:rPr>
          <w:rFonts w:eastAsia="MS Mincho"/>
          <w:sz w:val="24"/>
          <w:szCs w:val="24"/>
          <w:lang w:val="es-EC"/>
        </w:rPr>
        <w:t>esgo en cada zona de valoración y el número de predios dentro de cada área de aplicación.</w:t>
      </w:r>
    </w:p>
    <w:p w:rsidR="003B715C" w:rsidRDefault="003B715C" w:rsidP="006022B8">
      <w:pPr>
        <w:pStyle w:val="Textoindependiente"/>
        <w:ind w:firstLine="567"/>
        <w:contextualSpacing/>
        <w:jc w:val="both"/>
        <w:rPr>
          <w:rFonts w:eastAsia="MS Mincho"/>
          <w:sz w:val="24"/>
          <w:szCs w:val="24"/>
          <w:lang w:val="es-EC"/>
        </w:rPr>
      </w:pPr>
    </w:p>
    <w:p w:rsidR="006022B8" w:rsidRPr="00464981" w:rsidRDefault="006022B8" w:rsidP="006022B8">
      <w:pPr>
        <w:pStyle w:val="tablas"/>
        <w:spacing w:before="0" w:after="0"/>
        <w:jc w:val="center"/>
        <w:rPr>
          <w:b w:val="0"/>
          <w:sz w:val="22"/>
          <w:szCs w:val="22"/>
          <w:lang w:val="es-EC" w:eastAsia="en-US"/>
        </w:rPr>
      </w:pPr>
      <w:bookmarkStart w:id="17" w:name="_Toc8000856"/>
      <w:r w:rsidRPr="00464981">
        <w:rPr>
          <w:b w:val="0"/>
          <w:sz w:val="22"/>
          <w:szCs w:val="22"/>
          <w:lang w:val="es-EC" w:eastAsia="en-US"/>
        </w:rPr>
        <w:t xml:space="preserve">Tabla </w:t>
      </w:r>
      <w:bookmarkStart w:id="18" w:name="_Toc8000857"/>
      <w:bookmarkEnd w:id="17"/>
      <w:r w:rsidR="00A422CF">
        <w:rPr>
          <w:b w:val="0"/>
          <w:sz w:val="22"/>
          <w:szCs w:val="22"/>
          <w:lang w:val="es-EC" w:eastAsia="en-US"/>
        </w:rPr>
        <w:t>5</w:t>
      </w:r>
      <w:r>
        <w:rPr>
          <w:b w:val="0"/>
          <w:sz w:val="22"/>
          <w:szCs w:val="22"/>
          <w:lang w:val="es-EC" w:eastAsia="en-US"/>
        </w:rPr>
        <w:t>.</w:t>
      </w:r>
      <w:r w:rsidRPr="00464981">
        <w:rPr>
          <w:b w:val="0"/>
          <w:sz w:val="22"/>
          <w:szCs w:val="22"/>
          <w:lang w:val="es-EC" w:eastAsia="en-US"/>
        </w:rPr>
        <w:t xml:space="preserve"> Acciones específicas para las zonas de valoración y su área de aplicación</w:t>
      </w:r>
      <w:bookmarkEnd w:id="18"/>
    </w:p>
    <w:tbl>
      <w:tblPr>
        <w:tblStyle w:val="Tablanormal21"/>
        <w:tblW w:w="8463" w:type="dxa"/>
        <w:tblLook w:val="04A0" w:firstRow="1" w:lastRow="0" w:firstColumn="1" w:lastColumn="0" w:noHBand="0" w:noVBand="1"/>
      </w:tblPr>
      <w:tblGrid>
        <w:gridCol w:w="1234"/>
        <w:gridCol w:w="3334"/>
        <w:gridCol w:w="1197"/>
        <w:gridCol w:w="1752"/>
        <w:gridCol w:w="946"/>
      </w:tblGrid>
      <w:tr w:rsidR="006022B8" w:rsidRPr="003B715C" w:rsidTr="003D5A4A">
        <w:trPr>
          <w:cnfStyle w:val="100000000000" w:firstRow="1" w:lastRow="0" w:firstColumn="0" w:lastColumn="0" w:oddVBand="0" w:evenVBand="0" w:oddHBand="0"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34" w:type="dxa"/>
            <w:tcBorders>
              <w:top w:val="single" w:sz="4" w:space="0" w:color="7F7F7F" w:themeColor="text1" w:themeTint="80"/>
              <w:left w:val="nil"/>
              <w:right w:val="nil"/>
            </w:tcBorders>
            <w:noWrap/>
            <w:vAlign w:val="center"/>
            <w:hideMark/>
          </w:tcPr>
          <w:p w:rsidR="006022B8" w:rsidRPr="003B715C" w:rsidRDefault="006022B8" w:rsidP="007E60DF">
            <w:pPr>
              <w:jc w:val="center"/>
              <w:rPr>
                <w:rFonts w:ascii="Times New Roman" w:hAnsi="Times New Roman" w:cs="Times New Roman"/>
                <w:bCs w:val="0"/>
                <w:lang w:val="es-EC"/>
              </w:rPr>
            </w:pPr>
            <w:r w:rsidRPr="003B715C">
              <w:rPr>
                <w:rFonts w:ascii="Times New Roman" w:hAnsi="Times New Roman" w:cs="Times New Roman"/>
                <w:bCs w:val="0"/>
                <w:lang w:val="es-EC"/>
              </w:rPr>
              <w:t>Zona de valoración</w:t>
            </w:r>
          </w:p>
        </w:tc>
        <w:tc>
          <w:tcPr>
            <w:tcW w:w="3334" w:type="dxa"/>
            <w:tcBorders>
              <w:top w:val="single" w:sz="4" w:space="0" w:color="7F7F7F" w:themeColor="text1" w:themeTint="80"/>
              <w:left w:val="nil"/>
              <w:right w:val="nil"/>
            </w:tcBorders>
            <w:noWrap/>
            <w:vAlign w:val="center"/>
            <w:hideMark/>
          </w:tcPr>
          <w:p w:rsidR="006022B8" w:rsidRPr="003B715C" w:rsidRDefault="006022B8" w:rsidP="007E6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Acciones</w:t>
            </w:r>
          </w:p>
        </w:tc>
        <w:tc>
          <w:tcPr>
            <w:tcW w:w="1197" w:type="dxa"/>
            <w:tcBorders>
              <w:top w:val="single" w:sz="4" w:space="0" w:color="7F7F7F" w:themeColor="text1" w:themeTint="80"/>
              <w:left w:val="nil"/>
              <w:right w:val="nil"/>
            </w:tcBorders>
            <w:noWrap/>
            <w:vAlign w:val="center"/>
            <w:hideMark/>
          </w:tcPr>
          <w:p w:rsidR="006022B8" w:rsidRPr="003B715C" w:rsidRDefault="006022B8" w:rsidP="007E6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Área de aplicación (AP)</w:t>
            </w:r>
          </w:p>
        </w:tc>
        <w:tc>
          <w:tcPr>
            <w:tcW w:w="1752" w:type="dxa"/>
            <w:tcBorders>
              <w:top w:val="single" w:sz="4" w:space="0" w:color="7F7F7F" w:themeColor="text1" w:themeTint="80"/>
              <w:left w:val="nil"/>
              <w:right w:val="nil"/>
            </w:tcBorders>
            <w:vAlign w:val="center"/>
            <w:hideMark/>
          </w:tcPr>
          <w:p w:rsidR="006022B8" w:rsidRPr="003B715C" w:rsidRDefault="006022B8" w:rsidP="007E6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Extensión del AP</w:t>
            </w:r>
          </w:p>
        </w:tc>
        <w:tc>
          <w:tcPr>
            <w:tcW w:w="946" w:type="dxa"/>
            <w:tcBorders>
              <w:top w:val="single" w:sz="4" w:space="0" w:color="7F7F7F" w:themeColor="text1" w:themeTint="80"/>
              <w:left w:val="nil"/>
              <w:right w:val="nil"/>
            </w:tcBorders>
            <w:vAlign w:val="center"/>
            <w:hideMark/>
          </w:tcPr>
          <w:p w:rsidR="006022B8" w:rsidRPr="003B715C" w:rsidRDefault="006022B8" w:rsidP="007E60DF">
            <w:pPr>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bCs w:val="0"/>
                <w:lang w:val="es-EC"/>
              </w:rPr>
            </w:pPr>
            <w:r w:rsidRPr="003B715C">
              <w:rPr>
                <w:rFonts w:ascii="Times New Roman" w:hAnsi="Times New Roman" w:cs="Times New Roman"/>
                <w:bCs w:val="0"/>
                <w:lang w:val="es-EC"/>
              </w:rPr>
              <w:t>Predios</w:t>
            </w:r>
          </w:p>
        </w:tc>
      </w:tr>
      <w:tr w:rsidR="006022B8" w:rsidRPr="003B715C" w:rsidTr="003D5A4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34" w:type="dxa"/>
            <w:vMerge w:val="restart"/>
            <w:tcBorders>
              <w:left w:val="nil"/>
              <w:bottom w:val="nil"/>
              <w:right w:val="nil"/>
            </w:tcBorders>
            <w:noWrap/>
            <w:vAlign w:val="center"/>
            <w:hideMark/>
          </w:tcPr>
          <w:p w:rsidR="006022B8" w:rsidRPr="003B715C" w:rsidRDefault="006022B8" w:rsidP="007E60DF">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1 y Zona 2</w:t>
            </w:r>
          </w:p>
        </w:tc>
        <w:tc>
          <w:tcPr>
            <w:tcW w:w="3334" w:type="dxa"/>
            <w:tcBorders>
              <w:left w:val="nil"/>
              <w:right w:val="nil"/>
            </w:tcBorders>
            <w:noWrap/>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Reubicación de las personas asentadas justo a las riberas del río para disminuir la cantidad de construcciones afectadas.</w:t>
            </w:r>
          </w:p>
        </w:tc>
        <w:tc>
          <w:tcPr>
            <w:tcW w:w="1197" w:type="dxa"/>
            <w:tcBorders>
              <w:left w:val="nil"/>
              <w:right w:val="nil"/>
            </w:tcBorders>
            <w:noWrap/>
            <w:vAlign w:val="center"/>
            <w:hideMark/>
          </w:tcPr>
          <w:p w:rsidR="006022B8" w:rsidRPr="003B715C" w:rsidRDefault="006022B8" w:rsidP="007E6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AP 1</w:t>
            </w:r>
          </w:p>
        </w:tc>
        <w:tc>
          <w:tcPr>
            <w:tcW w:w="1752" w:type="dxa"/>
            <w:tcBorders>
              <w:left w:val="nil"/>
              <w:right w:val="nil"/>
            </w:tcBorders>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Predios ubicados a una distancia de hasta 30 m de la ribera del río, se incluyen predios municipales cercanos.</w:t>
            </w:r>
          </w:p>
        </w:tc>
        <w:tc>
          <w:tcPr>
            <w:tcW w:w="946" w:type="dxa"/>
            <w:tcBorders>
              <w:left w:val="nil"/>
              <w:right w:val="nil"/>
            </w:tcBorders>
            <w:vAlign w:val="center"/>
            <w:hideMark/>
          </w:tcPr>
          <w:p w:rsidR="006022B8" w:rsidRPr="003B715C" w:rsidRDefault="006022B8" w:rsidP="007E6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164</w:t>
            </w:r>
          </w:p>
        </w:tc>
      </w:tr>
      <w:tr w:rsidR="006022B8" w:rsidRPr="003B715C" w:rsidTr="003D5A4A">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rsidR="006022B8" w:rsidRPr="003B715C" w:rsidRDefault="006022B8" w:rsidP="007E60DF">
            <w:pPr>
              <w:rPr>
                <w:rFonts w:ascii="Times New Roman" w:hAnsi="Times New Roman" w:cs="Times New Roman"/>
                <w:lang w:val="es-EC"/>
              </w:rPr>
            </w:pPr>
          </w:p>
        </w:tc>
        <w:tc>
          <w:tcPr>
            <w:tcW w:w="3334" w:type="dxa"/>
            <w:tcBorders>
              <w:top w:val="nil"/>
              <w:left w:val="nil"/>
              <w:bottom w:val="nil"/>
              <w:right w:val="nil"/>
            </w:tcBorders>
            <w:noWrap/>
            <w:vAlign w:val="center"/>
            <w:hideMark/>
          </w:tcPr>
          <w:p w:rsidR="006022B8" w:rsidRPr="003B715C" w:rsidRDefault="006022B8" w:rsidP="003B7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No autorizar construcciones en lotes vacíos y nuevas construcciones en lotes ya ocupados.</w:t>
            </w:r>
          </w:p>
        </w:tc>
        <w:tc>
          <w:tcPr>
            <w:tcW w:w="1197" w:type="dxa"/>
            <w:vMerge w:val="restart"/>
            <w:tcBorders>
              <w:top w:val="nil"/>
              <w:left w:val="nil"/>
              <w:bottom w:val="nil"/>
              <w:right w:val="nil"/>
            </w:tcBorders>
            <w:noWrap/>
            <w:vAlign w:val="center"/>
            <w:hideMark/>
          </w:tcPr>
          <w:p w:rsidR="006022B8" w:rsidRPr="003B715C" w:rsidRDefault="006022B8" w:rsidP="007E6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AP 2</w:t>
            </w:r>
          </w:p>
        </w:tc>
        <w:tc>
          <w:tcPr>
            <w:tcW w:w="1752" w:type="dxa"/>
            <w:vMerge w:val="restart"/>
            <w:tcBorders>
              <w:top w:val="nil"/>
              <w:left w:val="nil"/>
              <w:bottom w:val="nil"/>
              <w:right w:val="nil"/>
            </w:tcBorders>
            <w:vAlign w:val="center"/>
            <w:hideMark/>
          </w:tcPr>
          <w:p w:rsidR="006022B8" w:rsidRPr="003B715C" w:rsidRDefault="006022B8" w:rsidP="003B7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Predios entre el área AP1 y los límites de las zonas 1 y 2.</w:t>
            </w:r>
          </w:p>
        </w:tc>
        <w:tc>
          <w:tcPr>
            <w:tcW w:w="946" w:type="dxa"/>
            <w:vMerge w:val="restart"/>
            <w:tcBorders>
              <w:top w:val="nil"/>
              <w:left w:val="nil"/>
              <w:bottom w:val="nil"/>
              <w:right w:val="nil"/>
            </w:tcBorders>
            <w:vAlign w:val="center"/>
            <w:hideMark/>
          </w:tcPr>
          <w:p w:rsidR="006022B8" w:rsidRPr="003B715C" w:rsidRDefault="006022B8" w:rsidP="007E60DF">
            <w:pPr>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726</w:t>
            </w:r>
          </w:p>
        </w:tc>
      </w:tr>
      <w:tr w:rsidR="006022B8" w:rsidRPr="00770A98" w:rsidTr="003D5A4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0" w:type="auto"/>
            <w:vMerge/>
            <w:tcBorders>
              <w:left w:val="nil"/>
              <w:bottom w:val="nil"/>
              <w:right w:val="nil"/>
            </w:tcBorders>
            <w:vAlign w:val="center"/>
            <w:hideMark/>
          </w:tcPr>
          <w:p w:rsidR="006022B8" w:rsidRPr="003B715C" w:rsidRDefault="006022B8" w:rsidP="007E60DF">
            <w:pPr>
              <w:rPr>
                <w:rFonts w:ascii="Times New Roman" w:hAnsi="Times New Roman" w:cs="Times New Roman"/>
                <w:lang w:val="es-EC"/>
              </w:rPr>
            </w:pPr>
          </w:p>
        </w:tc>
        <w:tc>
          <w:tcPr>
            <w:tcW w:w="3334" w:type="dxa"/>
            <w:tcBorders>
              <w:left w:val="nil"/>
              <w:right w:val="nil"/>
            </w:tcBorders>
            <w:noWrap/>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No permitir la construcción de nuevas IC y CSC.</w:t>
            </w:r>
          </w:p>
        </w:tc>
        <w:tc>
          <w:tcPr>
            <w:tcW w:w="1197" w:type="dxa"/>
            <w:vMerge/>
            <w:tcBorders>
              <w:top w:val="nil"/>
              <w:left w:val="nil"/>
              <w:bottom w:val="nil"/>
              <w:right w:val="nil"/>
            </w:tcBorders>
            <w:vAlign w:val="center"/>
            <w:hideMark/>
          </w:tcPr>
          <w:p w:rsidR="006022B8" w:rsidRPr="003B715C" w:rsidRDefault="006022B8" w:rsidP="007E6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c>
          <w:tcPr>
            <w:tcW w:w="1752" w:type="dxa"/>
            <w:vMerge/>
            <w:tcBorders>
              <w:top w:val="nil"/>
              <w:left w:val="nil"/>
              <w:bottom w:val="nil"/>
              <w:right w:val="nil"/>
            </w:tcBorders>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c>
          <w:tcPr>
            <w:tcW w:w="0" w:type="auto"/>
            <w:vMerge/>
            <w:tcBorders>
              <w:top w:val="nil"/>
              <w:left w:val="nil"/>
              <w:bottom w:val="nil"/>
              <w:right w:val="nil"/>
            </w:tcBorders>
            <w:vAlign w:val="center"/>
            <w:hideMark/>
          </w:tcPr>
          <w:p w:rsidR="006022B8" w:rsidRPr="003B715C" w:rsidRDefault="006022B8" w:rsidP="007E6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r w:rsidR="006022B8" w:rsidRPr="00770A98" w:rsidTr="003D5A4A">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nil"/>
              <w:right w:val="nil"/>
            </w:tcBorders>
            <w:vAlign w:val="center"/>
            <w:hideMark/>
          </w:tcPr>
          <w:p w:rsidR="006022B8" w:rsidRPr="003B715C" w:rsidRDefault="006022B8" w:rsidP="007E60DF">
            <w:pPr>
              <w:rPr>
                <w:rFonts w:ascii="Times New Roman" w:hAnsi="Times New Roman" w:cs="Times New Roman"/>
                <w:lang w:val="es-EC"/>
              </w:rPr>
            </w:pPr>
          </w:p>
        </w:tc>
        <w:tc>
          <w:tcPr>
            <w:tcW w:w="3334" w:type="dxa"/>
            <w:tcBorders>
              <w:top w:val="nil"/>
              <w:left w:val="nil"/>
              <w:bottom w:val="nil"/>
              <w:right w:val="nil"/>
            </w:tcBorders>
            <w:noWrap/>
            <w:vAlign w:val="center"/>
            <w:hideMark/>
          </w:tcPr>
          <w:p w:rsidR="006022B8" w:rsidRPr="003B715C" w:rsidRDefault="006022B8" w:rsidP="003B7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Reubicar en áreas seguras los edificios de uso socio cultural.</w:t>
            </w:r>
          </w:p>
        </w:tc>
        <w:tc>
          <w:tcPr>
            <w:tcW w:w="1197" w:type="dxa"/>
            <w:vMerge/>
            <w:tcBorders>
              <w:top w:val="nil"/>
              <w:left w:val="nil"/>
              <w:bottom w:val="nil"/>
              <w:right w:val="nil"/>
            </w:tcBorders>
            <w:vAlign w:val="center"/>
            <w:hideMark/>
          </w:tcPr>
          <w:p w:rsidR="006022B8" w:rsidRPr="003B715C" w:rsidRDefault="006022B8" w:rsidP="007E60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c>
          <w:tcPr>
            <w:tcW w:w="1752" w:type="dxa"/>
            <w:vMerge/>
            <w:tcBorders>
              <w:top w:val="nil"/>
              <w:left w:val="nil"/>
              <w:bottom w:val="nil"/>
              <w:right w:val="nil"/>
            </w:tcBorders>
            <w:vAlign w:val="center"/>
            <w:hideMark/>
          </w:tcPr>
          <w:p w:rsidR="006022B8" w:rsidRPr="003B715C" w:rsidRDefault="006022B8" w:rsidP="003B7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c>
          <w:tcPr>
            <w:tcW w:w="0" w:type="auto"/>
            <w:vMerge/>
            <w:tcBorders>
              <w:top w:val="nil"/>
              <w:left w:val="nil"/>
              <w:bottom w:val="nil"/>
              <w:right w:val="nil"/>
            </w:tcBorders>
            <w:vAlign w:val="center"/>
            <w:hideMark/>
          </w:tcPr>
          <w:p w:rsidR="006022B8" w:rsidRPr="003B715C" w:rsidRDefault="006022B8" w:rsidP="007E60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r>
      <w:tr w:rsidR="006022B8" w:rsidRPr="003B715C" w:rsidTr="003D5A4A">
        <w:trPr>
          <w:cnfStyle w:val="000000100000" w:firstRow="0" w:lastRow="0" w:firstColumn="0" w:lastColumn="0" w:oddVBand="0" w:evenVBand="0" w:oddHBand="1" w:evenHBand="0" w:firstRowFirstColumn="0" w:firstRowLastColumn="0" w:lastRowFirstColumn="0" w:lastRowLastColumn="0"/>
          <w:trHeight w:val="212"/>
        </w:trPr>
        <w:tc>
          <w:tcPr>
            <w:cnfStyle w:val="001000000000" w:firstRow="0" w:lastRow="0" w:firstColumn="1" w:lastColumn="0" w:oddVBand="0" w:evenVBand="0" w:oddHBand="0" w:evenHBand="0" w:firstRowFirstColumn="0" w:firstRowLastColumn="0" w:lastRowFirstColumn="0" w:lastRowLastColumn="0"/>
            <w:tcW w:w="1234" w:type="dxa"/>
            <w:vMerge w:val="restart"/>
            <w:tcBorders>
              <w:left w:val="nil"/>
              <w:right w:val="nil"/>
            </w:tcBorders>
            <w:noWrap/>
            <w:vAlign w:val="center"/>
            <w:hideMark/>
          </w:tcPr>
          <w:p w:rsidR="006022B8" w:rsidRPr="003B715C" w:rsidRDefault="006022B8" w:rsidP="007E60DF">
            <w:pPr>
              <w:jc w:val="center"/>
              <w:rPr>
                <w:rFonts w:ascii="Times New Roman" w:hAnsi="Times New Roman" w:cs="Times New Roman"/>
                <w:b w:val="0"/>
                <w:bCs w:val="0"/>
                <w:lang w:val="es-EC"/>
              </w:rPr>
            </w:pPr>
            <w:r w:rsidRPr="003B715C">
              <w:rPr>
                <w:rFonts w:ascii="Times New Roman" w:hAnsi="Times New Roman" w:cs="Times New Roman"/>
                <w:b w:val="0"/>
                <w:bCs w:val="0"/>
                <w:lang w:val="es-EC"/>
              </w:rPr>
              <w:t>Zona 3 y Zona 4</w:t>
            </w:r>
          </w:p>
        </w:tc>
        <w:tc>
          <w:tcPr>
            <w:tcW w:w="3334" w:type="dxa"/>
            <w:tcBorders>
              <w:left w:val="nil"/>
              <w:right w:val="nil"/>
            </w:tcBorders>
            <w:noWrap/>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Reubicar en áreas seguras los edificios de uso socio cultural.</w:t>
            </w:r>
          </w:p>
        </w:tc>
        <w:tc>
          <w:tcPr>
            <w:tcW w:w="1197" w:type="dxa"/>
            <w:vMerge w:val="restart"/>
            <w:tcBorders>
              <w:left w:val="nil"/>
              <w:right w:val="nil"/>
            </w:tcBorders>
            <w:noWrap/>
            <w:vAlign w:val="center"/>
            <w:hideMark/>
          </w:tcPr>
          <w:p w:rsidR="006022B8" w:rsidRPr="003B715C" w:rsidRDefault="006022B8" w:rsidP="007E6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AP 3</w:t>
            </w:r>
          </w:p>
        </w:tc>
        <w:tc>
          <w:tcPr>
            <w:tcW w:w="1752" w:type="dxa"/>
            <w:vMerge w:val="restart"/>
            <w:tcBorders>
              <w:left w:val="nil"/>
              <w:right w:val="nil"/>
            </w:tcBorders>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Predios pertenecientes a las zonas 3 y 4</w:t>
            </w:r>
          </w:p>
        </w:tc>
        <w:tc>
          <w:tcPr>
            <w:tcW w:w="946" w:type="dxa"/>
            <w:vMerge w:val="restart"/>
            <w:tcBorders>
              <w:left w:val="nil"/>
              <w:right w:val="nil"/>
            </w:tcBorders>
            <w:vAlign w:val="center"/>
            <w:hideMark/>
          </w:tcPr>
          <w:p w:rsidR="006022B8" w:rsidRPr="003B715C" w:rsidRDefault="006022B8" w:rsidP="007E60DF">
            <w:pPr>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269</w:t>
            </w:r>
          </w:p>
        </w:tc>
      </w:tr>
      <w:tr w:rsidR="006022B8" w:rsidRPr="00770A98" w:rsidTr="003D5A4A">
        <w:trPr>
          <w:trHeight w:val="212"/>
        </w:trPr>
        <w:tc>
          <w:tcPr>
            <w:cnfStyle w:val="001000000000" w:firstRow="0" w:lastRow="0" w:firstColumn="1" w:lastColumn="0" w:oddVBand="0" w:evenVBand="0" w:oddHBand="0" w:evenHBand="0" w:firstRowFirstColumn="0" w:firstRowLastColumn="0" w:lastRowFirstColumn="0" w:lastRowLastColumn="0"/>
            <w:tcW w:w="0" w:type="auto"/>
            <w:vMerge/>
            <w:tcBorders>
              <w:top w:val="single" w:sz="4" w:space="0" w:color="7F7F7F" w:themeColor="text1" w:themeTint="80"/>
              <w:left w:val="nil"/>
              <w:bottom w:val="single" w:sz="4" w:space="0" w:color="7F7F7F" w:themeColor="text1" w:themeTint="80"/>
              <w:right w:val="nil"/>
            </w:tcBorders>
            <w:vAlign w:val="center"/>
            <w:hideMark/>
          </w:tcPr>
          <w:p w:rsidR="006022B8" w:rsidRPr="003B715C" w:rsidRDefault="006022B8" w:rsidP="007E60DF">
            <w:pPr>
              <w:rPr>
                <w:rFonts w:ascii="Times New Roman" w:hAnsi="Times New Roman" w:cs="Times New Roman"/>
                <w:lang w:val="es-EC"/>
              </w:rPr>
            </w:pPr>
          </w:p>
        </w:tc>
        <w:tc>
          <w:tcPr>
            <w:tcW w:w="3334" w:type="dxa"/>
            <w:tcBorders>
              <w:top w:val="nil"/>
              <w:left w:val="nil"/>
              <w:bottom w:val="nil"/>
              <w:right w:val="nil"/>
            </w:tcBorders>
            <w:noWrap/>
            <w:vAlign w:val="center"/>
            <w:hideMark/>
          </w:tcPr>
          <w:p w:rsidR="006022B8" w:rsidRPr="003B715C" w:rsidRDefault="006022B8" w:rsidP="003B715C">
            <w:pPr>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No permitir la construcción de nuevas IC y CSC.</w:t>
            </w:r>
          </w:p>
        </w:tc>
        <w:tc>
          <w:tcPr>
            <w:tcW w:w="1197" w:type="dxa"/>
            <w:vMerge/>
            <w:tcBorders>
              <w:top w:val="single" w:sz="4" w:space="0" w:color="7F7F7F" w:themeColor="text1" w:themeTint="80"/>
              <w:left w:val="nil"/>
              <w:bottom w:val="single" w:sz="4" w:space="0" w:color="7F7F7F" w:themeColor="text1" w:themeTint="80"/>
              <w:right w:val="nil"/>
            </w:tcBorders>
            <w:vAlign w:val="center"/>
            <w:hideMark/>
          </w:tcPr>
          <w:p w:rsidR="006022B8" w:rsidRPr="003B715C" w:rsidRDefault="006022B8" w:rsidP="007E60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c>
          <w:tcPr>
            <w:tcW w:w="1752" w:type="dxa"/>
            <w:vMerge/>
            <w:tcBorders>
              <w:top w:val="single" w:sz="4" w:space="0" w:color="7F7F7F" w:themeColor="text1" w:themeTint="80"/>
              <w:left w:val="nil"/>
              <w:bottom w:val="single" w:sz="4" w:space="0" w:color="7F7F7F" w:themeColor="text1" w:themeTint="80"/>
              <w:right w:val="nil"/>
            </w:tcBorders>
            <w:vAlign w:val="center"/>
            <w:hideMark/>
          </w:tcPr>
          <w:p w:rsidR="006022B8" w:rsidRPr="003B715C" w:rsidRDefault="006022B8" w:rsidP="007E60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c>
          <w:tcPr>
            <w:tcW w:w="0" w:type="auto"/>
            <w:vMerge/>
            <w:tcBorders>
              <w:top w:val="single" w:sz="4" w:space="0" w:color="7F7F7F" w:themeColor="text1" w:themeTint="80"/>
              <w:left w:val="nil"/>
              <w:bottom w:val="single" w:sz="4" w:space="0" w:color="7F7F7F" w:themeColor="text1" w:themeTint="80"/>
              <w:right w:val="nil"/>
            </w:tcBorders>
            <w:vAlign w:val="center"/>
            <w:hideMark/>
          </w:tcPr>
          <w:p w:rsidR="006022B8" w:rsidRPr="003B715C" w:rsidRDefault="006022B8" w:rsidP="007E60DF">
            <w:pP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lang w:val="es-EC"/>
              </w:rPr>
            </w:pPr>
          </w:p>
        </w:tc>
      </w:tr>
      <w:tr w:rsidR="006022B8" w:rsidRPr="00770A98" w:rsidTr="003D5A4A">
        <w:trPr>
          <w:cnfStyle w:val="000000100000" w:firstRow="0" w:lastRow="0" w:firstColumn="0" w:lastColumn="0" w:oddVBand="0" w:evenVBand="0" w:oddHBand="1" w:evenHBand="0" w:firstRowFirstColumn="0" w:firstRowLastColumn="0" w:lastRowFirstColumn="0" w:lastRowLastColumn="0"/>
          <w:trHeight w:val="48"/>
        </w:trPr>
        <w:tc>
          <w:tcPr>
            <w:cnfStyle w:val="001000000000" w:firstRow="0" w:lastRow="0" w:firstColumn="1" w:lastColumn="0" w:oddVBand="0" w:evenVBand="0" w:oddHBand="0" w:evenHBand="0" w:firstRowFirstColumn="0" w:firstRowLastColumn="0" w:lastRowFirstColumn="0" w:lastRowLastColumn="0"/>
            <w:tcW w:w="0" w:type="auto"/>
            <w:vMerge/>
            <w:tcBorders>
              <w:left w:val="nil"/>
              <w:right w:val="nil"/>
            </w:tcBorders>
            <w:vAlign w:val="center"/>
            <w:hideMark/>
          </w:tcPr>
          <w:p w:rsidR="006022B8" w:rsidRPr="003B715C" w:rsidRDefault="006022B8" w:rsidP="007E60DF">
            <w:pPr>
              <w:rPr>
                <w:rFonts w:ascii="Times New Roman" w:hAnsi="Times New Roman" w:cs="Times New Roman"/>
                <w:lang w:val="es-EC"/>
              </w:rPr>
            </w:pPr>
          </w:p>
        </w:tc>
        <w:tc>
          <w:tcPr>
            <w:tcW w:w="3334" w:type="dxa"/>
            <w:tcBorders>
              <w:left w:val="nil"/>
              <w:right w:val="nil"/>
            </w:tcBorders>
            <w:noWrap/>
            <w:vAlign w:val="center"/>
            <w:hideMark/>
          </w:tcPr>
          <w:p w:rsidR="006022B8" w:rsidRPr="003B715C" w:rsidRDefault="006022B8" w:rsidP="003B715C">
            <w:pPr>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r w:rsidRPr="003B715C">
              <w:rPr>
                <w:rFonts w:ascii="Times New Roman" w:hAnsi="Times New Roman" w:cs="Times New Roman"/>
                <w:lang w:val="es-EC"/>
              </w:rPr>
              <w:t>Edificios en esta zona deben tener por lo menos dos plantas y deben cumplir especificaciones técnicas dadas por la autoridad</w:t>
            </w:r>
          </w:p>
        </w:tc>
        <w:tc>
          <w:tcPr>
            <w:tcW w:w="1197" w:type="dxa"/>
            <w:vMerge/>
            <w:tcBorders>
              <w:left w:val="nil"/>
              <w:right w:val="nil"/>
            </w:tcBorders>
            <w:vAlign w:val="center"/>
            <w:hideMark/>
          </w:tcPr>
          <w:p w:rsidR="006022B8" w:rsidRPr="003B715C" w:rsidRDefault="006022B8" w:rsidP="007E6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c>
          <w:tcPr>
            <w:tcW w:w="1752" w:type="dxa"/>
            <w:vMerge/>
            <w:tcBorders>
              <w:left w:val="nil"/>
              <w:right w:val="nil"/>
            </w:tcBorders>
            <w:vAlign w:val="center"/>
            <w:hideMark/>
          </w:tcPr>
          <w:p w:rsidR="006022B8" w:rsidRPr="003B715C" w:rsidRDefault="006022B8" w:rsidP="007E6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c>
          <w:tcPr>
            <w:tcW w:w="0" w:type="auto"/>
            <w:vMerge/>
            <w:tcBorders>
              <w:left w:val="nil"/>
              <w:right w:val="nil"/>
            </w:tcBorders>
            <w:vAlign w:val="center"/>
            <w:hideMark/>
          </w:tcPr>
          <w:p w:rsidR="006022B8" w:rsidRPr="003B715C" w:rsidRDefault="006022B8" w:rsidP="007E60DF">
            <w:pP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lang w:val="es-EC"/>
              </w:rPr>
            </w:pPr>
          </w:p>
        </w:tc>
      </w:tr>
    </w:tbl>
    <w:p w:rsidR="006022B8" w:rsidRPr="003B715C" w:rsidRDefault="006022B8" w:rsidP="006022B8">
      <w:pPr>
        <w:rPr>
          <w:sz w:val="22"/>
          <w:szCs w:val="22"/>
          <w:lang w:val="es-EC"/>
        </w:rPr>
      </w:pPr>
    </w:p>
    <w:p w:rsidR="00C73003" w:rsidRDefault="00C73003" w:rsidP="00F8349F">
      <w:pPr>
        <w:pStyle w:val="Textoindependiente"/>
        <w:ind w:firstLine="567"/>
        <w:contextualSpacing/>
        <w:jc w:val="both"/>
        <w:rPr>
          <w:rFonts w:eastAsia="MS Mincho"/>
          <w:sz w:val="24"/>
          <w:szCs w:val="24"/>
          <w:lang w:val="es-EC"/>
        </w:rPr>
      </w:pPr>
    </w:p>
    <w:p w:rsidR="00F8349F" w:rsidRPr="0046362F" w:rsidRDefault="00F8349F" w:rsidP="00F8349F">
      <w:pPr>
        <w:pStyle w:val="Textoindependiente"/>
        <w:ind w:firstLine="567"/>
        <w:contextualSpacing/>
        <w:jc w:val="both"/>
        <w:rPr>
          <w:rFonts w:eastAsia="MS Mincho"/>
          <w:sz w:val="24"/>
          <w:szCs w:val="24"/>
          <w:lang w:val="es-EC"/>
        </w:rPr>
      </w:pPr>
      <w:r w:rsidRPr="00464981">
        <w:rPr>
          <w:rFonts w:eastAsia="MS Mincho"/>
          <w:sz w:val="24"/>
          <w:szCs w:val="24"/>
          <w:lang w:val="es-EC"/>
        </w:rPr>
        <w:t>En lo correspondiente a servicios vitales, la planificación que permita mitigar la severidad del impacto implica la toma de acciones por parte de los municipios y de las empresas o instituciones encargadas de brindar el servicio, siendo la principal afectación en lo correspondiente al abastecimiento de agua potable, especialmente para el GADMUR</w:t>
      </w:r>
      <w:r>
        <w:rPr>
          <w:rFonts w:eastAsia="MS Mincho"/>
          <w:sz w:val="24"/>
          <w:szCs w:val="24"/>
          <w:lang w:val="es-EC"/>
        </w:rPr>
        <w:t>.</w:t>
      </w:r>
    </w:p>
    <w:p w:rsidR="00110E97" w:rsidRDefault="00110E97" w:rsidP="00DF5227">
      <w:pPr>
        <w:pStyle w:val="Textoindependiente2"/>
        <w:tabs>
          <w:tab w:val="left" w:pos="567"/>
        </w:tabs>
        <w:spacing w:after="0" w:line="240" w:lineRule="auto"/>
        <w:jc w:val="both"/>
        <w:rPr>
          <w:sz w:val="24"/>
          <w:szCs w:val="24"/>
          <w:lang w:val="es-EC"/>
        </w:rPr>
      </w:pPr>
    </w:p>
    <w:p w:rsidR="0051626A" w:rsidRDefault="0051626A" w:rsidP="00DF5227">
      <w:pPr>
        <w:pStyle w:val="Textoindependiente2"/>
        <w:tabs>
          <w:tab w:val="left" w:pos="567"/>
        </w:tabs>
        <w:spacing w:after="0" w:line="240" w:lineRule="auto"/>
        <w:jc w:val="both"/>
        <w:rPr>
          <w:sz w:val="24"/>
          <w:szCs w:val="24"/>
          <w:lang w:val="es-EC"/>
        </w:rPr>
      </w:pPr>
      <w:r>
        <w:rPr>
          <w:sz w:val="24"/>
          <w:szCs w:val="24"/>
          <w:lang w:val="es-EC"/>
        </w:rPr>
        <w:t>FICHA CATASTRAL DE RIESGOS</w:t>
      </w:r>
    </w:p>
    <w:p w:rsidR="005D73F8" w:rsidRPr="00464981" w:rsidRDefault="005D73F8" w:rsidP="005D73F8">
      <w:pPr>
        <w:pStyle w:val="Textoindependiente"/>
        <w:ind w:firstLine="567"/>
        <w:contextualSpacing/>
        <w:jc w:val="both"/>
        <w:rPr>
          <w:rFonts w:eastAsia="MS Mincho"/>
          <w:sz w:val="24"/>
          <w:szCs w:val="24"/>
          <w:lang w:val="es-EC"/>
        </w:rPr>
      </w:pPr>
      <w:bookmarkStart w:id="19" w:name="_Toc8000860"/>
    </w:p>
    <w:p w:rsidR="00A422CF" w:rsidRPr="00A422CF" w:rsidRDefault="00257AE2" w:rsidP="00751587">
      <w:pPr>
        <w:pStyle w:val="Textoindependiente"/>
        <w:ind w:firstLine="567"/>
        <w:contextualSpacing/>
        <w:jc w:val="both"/>
        <w:rPr>
          <w:rFonts w:eastAsia="MS Mincho"/>
          <w:sz w:val="24"/>
          <w:szCs w:val="24"/>
          <w:lang w:val="es-EC"/>
        </w:rPr>
      </w:pPr>
      <w:r w:rsidRPr="00A422CF">
        <w:rPr>
          <w:rFonts w:eastAsia="MS Mincho"/>
          <w:sz w:val="24"/>
          <w:szCs w:val="24"/>
          <w:lang w:val="es-EC"/>
        </w:rPr>
        <w:t xml:space="preserve">De la generación del </w:t>
      </w:r>
      <w:r w:rsidR="00A422CF">
        <w:rPr>
          <w:rFonts w:eastAsia="MS Mincho"/>
          <w:sz w:val="24"/>
          <w:szCs w:val="24"/>
          <w:lang w:val="es-EC"/>
        </w:rPr>
        <w:t>SCR</w:t>
      </w:r>
      <w:r w:rsidRPr="00A422CF">
        <w:rPr>
          <w:rFonts w:eastAsia="MS Mincho"/>
          <w:sz w:val="24"/>
          <w:szCs w:val="24"/>
          <w:lang w:val="es-EC"/>
        </w:rPr>
        <w:t xml:space="preserve"> se obtuvo </w:t>
      </w:r>
      <w:r w:rsidR="00A422CF">
        <w:rPr>
          <w:rFonts w:eastAsia="MS Mincho"/>
          <w:sz w:val="24"/>
          <w:szCs w:val="24"/>
          <w:lang w:val="es-EC"/>
        </w:rPr>
        <w:t>el modelo</w:t>
      </w:r>
      <w:r w:rsidR="00224895">
        <w:rPr>
          <w:rFonts w:eastAsia="MS Mincho"/>
          <w:sz w:val="24"/>
          <w:szCs w:val="24"/>
          <w:lang w:val="es-EC"/>
        </w:rPr>
        <w:t xml:space="preserve"> conceptual que permite la relación entre información generada por la administración territorial con los datos resultantes del proceso de gestión de riesgos, lo cual se ve reflejado en la Tabla 6, donde se visualiza la ficha catastral de riesgos</w:t>
      </w:r>
      <w:r w:rsidRPr="00A422CF">
        <w:rPr>
          <w:rFonts w:eastAsia="MS Mincho"/>
          <w:sz w:val="24"/>
          <w:szCs w:val="24"/>
          <w:lang w:val="es-EC"/>
        </w:rPr>
        <w:t>,</w:t>
      </w:r>
      <w:r w:rsidR="00224895">
        <w:rPr>
          <w:rFonts w:eastAsia="MS Mincho"/>
          <w:sz w:val="24"/>
          <w:szCs w:val="24"/>
          <w:lang w:val="es-EC"/>
        </w:rPr>
        <w:t xml:space="preserve"> misma que indica la estructura e </w:t>
      </w:r>
      <w:r w:rsidR="003732B6">
        <w:rPr>
          <w:rFonts w:eastAsia="MS Mincho"/>
          <w:sz w:val="24"/>
          <w:szCs w:val="24"/>
          <w:lang w:val="es-EC"/>
        </w:rPr>
        <w:t>información</w:t>
      </w:r>
      <w:r w:rsidR="00224895">
        <w:rPr>
          <w:rFonts w:eastAsia="MS Mincho"/>
          <w:sz w:val="24"/>
          <w:szCs w:val="24"/>
          <w:lang w:val="es-EC"/>
        </w:rPr>
        <w:t xml:space="preserve"> </w:t>
      </w:r>
      <w:r w:rsidR="003732B6">
        <w:rPr>
          <w:rFonts w:eastAsia="MS Mincho"/>
          <w:sz w:val="24"/>
          <w:szCs w:val="24"/>
          <w:lang w:val="es-EC"/>
        </w:rPr>
        <w:t>contenida</w:t>
      </w:r>
      <w:r w:rsidR="00224895">
        <w:rPr>
          <w:rFonts w:eastAsia="MS Mincho"/>
          <w:sz w:val="24"/>
          <w:szCs w:val="24"/>
          <w:lang w:val="es-EC"/>
        </w:rPr>
        <w:t xml:space="preserve"> en la base datos </w:t>
      </w:r>
      <w:r w:rsidR="003732B6">
        <w:rPr>
          <w:rFonts w:eastAsia="MS Mincho"/>
          <w:sz w:val="24"/>
          <w:szCs w:val="24"/>
          <w:lang w:val="es-EC"/>
        </w:rPr>
        <w:t xml:space="preserve">administrada </w:t>
      </w:r>
      <w:r w:rsidR="00224895">
        <w:rPr>
          <w:rFonts w:eastAsia="MS Mincho"/>
          <w:sz w:val="24"/>
          <w:szCs w:val="24"/>
          <w:lang w:val="es-EC"/>
        </w:rPr>
        <w:t>por el SCR</w:t>
      </w:r>
      <w:r w:rsidR="003732B6">
        <w:rPr>
          <w:rFonts w:eastAsia="MS Mincho"/>
          <w:sz w:val="24"/>
          <w:szCs w:val="24"/>
          <w:lang w:val="es-EC"/>
        </w:rPr>
        <w:t xml:space="preserve"> y su relación con cada una de las</w:t>
      </w:r>
      <w:r w:rsidRPr="00A422CF">
        <w:rPr>
          <w:rFonts w:eastAsia="MS Mincho"/>
          <w:sz w:val="24"/>
          <w:szCs w:val="24"/>
          <w:lang w:val="es-EC"/>
        </w:rPr>
        <w:t xml:space="preserve"> cuatro clases básicas del modelo LADM, cuyos datos son tomados de los catas</w:t>
      </w:r>
      <w:r w:rsidR="003732B6">
        <w:rPr>
          <w:rFonts w:eastAsia="MS Mincho"/>
          <w:sz w:val="24"/>
          <w:szCs w:val="24"/>
          <w:lang w:val="es-EC"/>
        </w:rPr>
        <w:t xml:space="preserve">tros inmobiliarios municipales y </w:t>
      </w:r>
      <w:r w:rsidR="00751587">
        <w:rPr>
          <w:rFonts w:eastAsia="MS Mincho"/>
          <w:sz w:val="24"/>
          <w:szCs w:val="24"/>
          <w:lang w:val="es-EC"/>
        </w:rPr>
        <w:t xml:space="preserve">el resultado de </w:t>
      </w:r>
      <w:r w:rsidR="003732B6">
        <w:rPr>
          <w:rFonts w:eastAsia="MS Mincho"/>
          <w:sz w:val="24"/>
          <w:szCs w:val="24"/>
          <w:lang w:val="es-EC"/>
        </w:rPr>
        <w:t xml:space="preserve">la valoración del riesgo; ítems como </w:t>
      </w:r>
      <w:r w:rsidRPr="00A422CF">
        <w:rPr>
          <w:rFonts w:eastAsia="MS Mincho"/>
          <w:sz w:val="24"/>
          <w:szCs w:val="24"/>
          <w:lang w:val="es-EC"/>
        </w:rPr>
        <w:t>la clave catastral sirven de enlace con las otras entidades d</w:t>
      </w:r>
      <w:r w:rsidR="003732B6">
        <w:rPr>
          <w:rFonts w:eastAsia="MS Mincho"/>
          <w:sz w:val="24"/>
          <w:szCs w:val="24"/>
          <w:lang w:val="es-EC"/>
        </w:rPr>
        <w:t xml:space="preserve">e la base catastral municipal, mientras </w:t>
      </w:r>
      <w:r w:rsidRPr="00A422CF">
        <w:rPr>
          <w:rFonts w:eastAsia="MS Mincho"/>
          <w:sz w:val="24"/>
          <w:szCs w:val="24"/>
          <w:lang w:val="es-EC"/>
        </w:rPr>
        <w:t xml:space="preserve">los referentes a ubicación y tenencia del predio, ayudan a mejorar la gestión de riesgos. </w:t>
      </w:r>
      <w:r w:rsidR="00751587">
        <w:rPr>
          <w:rFonts w:eastAsia="MS Mincho"/>
          <w:sz w:val="24"/>
          <w:szCs w:val="24"/>
          <w:lang w:val="es-EC"/>
        </w:rPr>
        <w:t xml:space="preserve">Además, para conocer de la importancia de poner a disposición de todos los interesados la información relacionada a riesgos a través de infraestructuras tecnológicas </w:t>
      </w:r>
      <w:r w:rsidR="00751587">
        <w:rPr>
          <w:rFonts w:eastAsia="MS Mincho"/>
          <w:sz w:val="24"/>
          <w:szCs w:val="24"/>
          <w:lang w:val="es-EC"/>
        </w:rPr>
        <w:lastRenderedPageBreak/>
        <w:t xml:space="preserve">territoriales como el catastro, </w:t>
      </w:r>
      <w:r w:rsidR="00A422CF" w:rsidRPr="00464981">
        <w:rPr>
          <w:rFonts w:eastAsia="MS Mincho"/>
          <w:sz w:val="24"/>
          <w:szCs w:val="24"/>
          <w:lang w:val="es-EC"/>
        </w:rPr>
        <w:t xml:space="preserve">en la encuesta </w:t>
      </w:r>
      <w:r w:rsidR="00751587">
        <w:rPr>
          <w:rFonts w:eastAsia="MS Mincho"/>
          <w:sz w:val="24"/>
          <w:szCs w:val="24"/>
          <w:lang w:val="es-EC"/>
        </w:rPr>
        <w:t>realizada se incluyó una pregunta adicional donde los</w:t>
      </w:r>
      <w:r w:rsidR="00A422CF" w:rsidRPr="00464981">
        <w:rPr>
          <w:rFonts w:eastAsia="MS Mincho"/>
          <w:sz w:val="24"/>
          <w:szCs w:val="24"/>
          <w:lang w:val="es-EC"/>
        </w:rPr>
        <w:t xml:space="preserve"> </w:t>
      </w:r>
      <w:r w:rsidR="00751587">
        <w:rPr>
          <w:rFonts w:eastAsia="MS Mincho"/>
          <w:sz w:val="24"/>
          <w:szCs w:val="24"/>
          <w:lang w:val="es-EC"/>
        </w:rPr>
        <w:t>habitantes</w:t>
      </w:r>
      <w:r w:rsidR="00A422CF" w:rsidRPr="00464981">
        <w:rPr>
          <w:rFonts w:eastAsia="MS Mincho"/>
          <w:sz w:val="24"/>
          <w:szCs w:val="24"/>
          <w:lang w:val="es-EC"/>
        </w:rPr>
        <w:t xml:space="preserve"> señalaron qué tan importante consideran que el gobierno local les proporcione información de los riesgos a los que están expuestas las propiedades en las que habitan o desarrollan sus actividades, a lo que el 94% de los encuestados</w:t>
      </w:r>
      <w:bookmarkStart w:id="20" w:name="_Toc8076035"/>
      <w:r w:rsidR="00A422CF" w:rsidRPr="00464981">
        <w:rPr>
          <w:rFonts w:eastAsia="MS Mincho"/>
          <w:sz w:val="24"/>
          <w:szCs w:val="24"/>
          <w:lang w:val="es-EC"/>
        </w:rPr>
        <w:t xml:space="preserve"> respondió como muy importante.</w:t>
      </w:r>
      <w:bookmarkEnd w:id="20"/>
    </w:p>
    <w:p w:rsidR="00257AE2" w:rsidRDefault="00257AE2" w:rsidP="00257AE2">
      <w:pPr>
        <w:pStyle w:val="tablas"/>
        <w:spacing w:before="0" w:after="0"/>
        <w:rPr>
          <w:b w:val="0"/>
          <w:szCs w:val="24"/>
          <w:lang w:val="es-EC" w:eastAsia="en-US"/>
        </w:rPr>
      </w:pPr>
    </w:p>
    <w:p w:rsidR="00257AE2" w:rsidRPr="00A422CF" w:rsidRDefault="00257AE2" w:rsidP="00A422CF">
      <w:pPr>
        <w:pStyle w:val="tablas"/>
        <w:spacing w:before="0" w:after="0"/>
        <w:jc w:val="center"/>
        <w:rPr>
          <w:b w:val="0"/>
          <w:sz w:val="22"/>
          <w:szCs w:val="22"/>
          <w:lang w:val="es-EC" w:eastAsia="en-US"/>
        </w:rPr>
      </w:pPr>
      <w:r w:rsidRPr="00A422CF">
        <w:rPr>
          <w:b w:val="0"/>
          <w:sz w:val="22"/>
          <w:szCs w:val="22"/>
          <w:lang w:val="es-EC" w:eastAsia="en-US"/>
        </w:rPr>
        <w:t xml:space="preserve">Tabla </w:t>
      </w:r>
      <w:bookmarkEnd w:id="19"/>
      <w:r w:rsidR="00A422CF" w:rsidRPr="00A422CF">
        <w:rPr>
          <w:b w:val="0"/>
          <w:sz w:val="22"/>
          <w:szCs w:val="22"/>
          <w:lang w:val="es-EC" w:eastAsia="en-US"/>
        </w:rPr>
        <w:t>6.</w:t>
      </w:r>
      <w:bookmarkStart w:id="21" w:name="_Toc8000861"/>
      <w:r w:rsidR="00A422CF" w:rsidRPr="00A422CF">
        <w:rPr>
          <w:b w:val="0"/>
          <w:sz w:val="22"/>
          <w:szCs w:val="22"/>
          <w:lang w:val="es-EC" w:eastAsia="en-US"/>
        </w:rPr>
        <w:t xml:space="preserve"> </w:t>
      </w:r>
      <w:r w:rsidRPr="00A422CF">
        <w:rPr>
          <w:b w:val="0"/>
          <w:sz w:val="22"/>
          <w:szCs w:val="22"/>
          <w:lang w:val="es-EC" w:eastAsia="en-US"/>
        </w:rPr>
        <w:t>Detalle de la información incluida en la ficha catastral</w:t>
      </w:r>
      <w:bookmarkEnd w:id="21"/>
      <w:r w:rsidR="00751587">
        <w:rPr>
          <w:b w:val="0"/>
          <w:sz w:val="22"/>
          <w:szCs w:val="22"/>
          <w:lang w:val="es-EC" w:eastAsia="en-US"/>
        </w:rPr>
        <w:t xml:space="preserve"> y la base de datos del SCR; y su relación con las principales clases de la LADM.</w:t>
      </w:r>
    </w:p>
    <w:tbl>
      <w:tblPr>
        <w:tblStyle w:val="Cuadrculadetablaclara1"/>
        <w:tblW w:w="8473" w:type="dxa"/>
        <w:tblLook w:val="04A0" w:firstRow="1" w:lastRow="0" w:firstColumn="1" w:lastColumn="0" w:noHBand="0" w:noVBand="1"/>
      </w:tblPr>
      <w:tblGrid>
        <w:gridCol w:w="475"/>
        <w:gridCol w:w="1524"/>
        <w:gridCol w:w="1370"/>
        <w:gridCol w:w="1524"/>
        <w:gridCol w:w="1787"/>
        <w:gridCol w:w="1927"/>
      </w:tblGrid>
      <w:tr w:rsidR="00257AE2" w:rsidRPr="00FE2214" w:rsidTr="003D5A4A">
        <w:trPr>
          <w:trHeight w:val="283"/>
        </w:trPr>
        <w:tc>
          <w:tcPr>
            <w:tcW w:w="1950" w:type="dxa"/>
            <w:gridSpan w:val="2"/>
            <w:vMerge w:val="restart"/>
            <w:tcBorders>
              <w:top w:val="single" w:sz="8" w:space="0" w:color="auto"/>
              <w:left w:val="nil"/>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Información</w:t>
            </w:r>
          </w:p>
        </w:tc>
        <w:tc>
          <w:tcPr>
            <w:tcW w:w="4644" w:type="dxa"/>
            <w:gridSpan w:val="3"/>
            <w:tcBorders>
              <w:top w:val="single" w:sz="8" w:space="0" w:color="auto"/>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Área de aplicación</w:t>
            </w:r>
          </w:p>
        </w:tc>
        <w:tc>
          <w:tcPr>
            <w:tcW w:w="1879" w:type="dxa"/>
            <w:vMerge w:val="restart"/>
            <w:tcBorders>
              <w:top w:val="single" w:sz="8" w:space="0" w:color="auto"/>
              <w:left w:val="dashed" w:sz="4" w:space="0" w:color="auto"/>
              <w:bottom w:val="single" w:sz="12" w:space="0" w:color="auto"/>
              <w:right w:val="nil"/>
            </w:tcBorders>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Clases LADM</w:t>
            </w:r>
          </w:p>
        </w:tc>
      </w:tr>
      <w:tr w:rsidR="00257AE2" w:rsidRPr="00FE2214" w:rsidTr="003D5A4A">
        <w:trPr>
          <w:trHeight w:val="283"/>
        </w:trPr>
        <w:tc>
          <w:tcPr>
            <w:tcW w:w="0" w:type="auto"/>
            <w:gridSpan w:val="2"/>
            <w:vMerge/>
            <w:tcBorders>
              <w:top w:val="single" w:sz="12" w:space="0" w:color="auto"/>
              <w:left w:val="nil"/>
              <w:bottom w:val="single" w:sz="4" w:space="0" w:color="BFBFBF" w:themeColor="background1" w:themeShade="BF"/>
              <w:right w:val="dashed" w:sz="4" w:space="0" w:color="auto"/>
            </w:tcBorders>
            <w:vAlign w:val="center"/>
            <w:hideMark/>
          </w:tcPr>
          <w:p w:rsidR="00257AE2" w:rsidRPr="00C73003" w:rsidRDefault="00257AE2">
            <w:pPr>
              <w:rPr>
                <w:rFonts w:ascii="Times New Roman" w:hAnsi="Times New Roman" w:cs="Times New Roman"/>
                <w:lang w:val="es-EC"/>
              </w:rPr>
            </w:pPr>
          </w:p>
        </w:tc>
        <w:tc>
          <w:tcPr>
            <w:tcW w:w="1370" w:type="dxa"/>
            <w:tcBorders>
              <w:top w:val="single" w:sz="4" w:space="0" w:color="BFBFBF" w:themeColor="background1" w:themeShade="BF"/>
              <w:left w:val="dashed" w:sz="4" w:space="0" w:color="auto"/>
              <w:bottom w:val="single" w:sz="4" w:space="0" w:color="auto"/>
              <w:right w:val="nil"/>
            </w:tcBorders>
            <w:noWrap/>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AP 1</w:t>
            </w:r>
          </w:p>
        </w:tc>
        <w:tc>
          <w:tcPr>
            <w:tcW w:w="1486" w:type="dxa"/>
            <w:tcBorders>
              <w:top w:val="single" w:sz="4" w:space="0" w:color="BFBFBF" w:themeColor="background1" w:themeShade="BF"/>
              <w:left w:val="nil"/>
              <w:bottom w:val="single" w:sz="4" w:space="0" w:color="auto"/>
              <w:right w:val="nil"/>
            </w:tcBorders>
            <w:noWrap/>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AP 2</w:t>
            </w:r>
          </w:p>
        </w:tc>
        <w:tc>
          <w:tcPr>
            <w:tcW w:w="1787" w:type="dxa"/>
            <w:tcBorders>
              <w:top w:val="single" w:sz="4" w:space="0" w:color="BFBFBF" w:themeColor="background1" w:themeShade="BF"/>
              <w:left w:val="nil"/>
              <w:bottom w:val="single" w:sz="4" w:space="0" w:color="auto"/>
              <w:right w:val="dashed" w:sz="4" w:space="0" w:color="auto"/>
            </w:tcBorders>
            <w:noWrap/>
            <w:vAlign w:val="center"/>
            <w:hideMark/>
          </w:tcPr>
          <w:p w:rsidR="00257AE2" w:rsidRPr="00C73003" w:rsidRDefault="00257AE2">
            <w:pPr>
              <w:jc w:val="center"/>
              <w:rPr>
                <w:rFonts w:ascii="Times New Roman" w:hAnsi="Times New Roman" w:cs="Times New Roman"/>
                <w:b/>
                <w:lang w:val="es-EC"/>
              </w:rPr>
            </w:pPr>
            <w:r w:rsidRPr="00C73003">
              <w:rPr>
                <w:rFonts w:ascii="Times New Roman" w:hAnsi="Times New Roman" w:cs="Times New Roman"/>
                <w:b/>
                <w:lang w:val="es-EC"/>
              </w:rPr>
              <w:t>AP 3</w:t>
            </w:r>
          </w:p>
        </w:tc>
        <w:tc>
          <w:tcPr>
            <w:tcW w:w="0" w:type="auto"/>
            <w:vMerge/>
            <w:tcBorders>
              <w:top w:val="single" w:sz="12" w:space="0" w:color="auto"/>
              <w:left w:val="dashed" w:sz="4" w:space="0" w:color="auto"/>
              <w:bottom w:val="single" w:sz="4" w:space="0" w:color="auto"/>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462" w:type="dxa"/>
            <w:vMerge w:val="restart"/>
            <w:tcBorders>
              <w:top w:val="single" w:sz="4" w:space="0" w:color="auto"/>
              <w:left w:val="nil"/>
              <w:bottom w:val="single" w:sz="12" w:space="0" w:color="auto"/>
              <w:right w:val="dashed" w:sz="4" w:space="0" w:color="auto"/>
            </w:tcBorders>
            <w:noWrap/>
            <w:textDirection w:val="btLr"/>
            <w:vAlign w:val="center"/>
            <w:hideMark/>
          </w:tcPr>
          <w:p w:rsidR="00257AE2" w:rsidRPr="00C73003" w:rsidRDefault="00257AE2">
            <w:pPr>
              <w:ind w:left="113" w:right="113"/>
              <w:jc w:val="center"/>
              <w:rPr>
                <w:rFonts w:ascii="Times New Roman" w:hAnsi="Times New Roman" w:cs="Times New Roman"/>
                <w:lang w:val="es-EC"/>
              </w:rPr>
            </w:pPr>
            <w:r w:rsidRPr="00C73003">
              <w:rPr>
                <w:rFonts w:ascii="Times New Roman" w:hAnsi="Times New Roman" w:cs="Times New Roman"/>
                <w:lang w:val="es-EC"/>
              </w:rPr>
              <w:t>Riesgos</w:t>
            </w:r>
          </w:p>
        </w:tc>
        <w:tc>
          <w:tcPr>
            <w:tcW w:w="1487" w:type="dxa"/>
            <w:tcBorders>
              <w:top w:val="single" w:sz="4" w:space="0" w:color="auto"/>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Peligro</w:t>
            </w: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Lahar</w:t>
            </w:r>
          </w:p>
        </w:tc>
        <w:tc>
          <w:tcPr>
            <w:tcW w:w="1879" w:type="dxa"/>
            <w:vMerge w:val="restart"/>
            <w:tcBorders>
              <w:top w:val="single" w:sz="4" w:space="0" w:color="auto"/>
              <w:left w:val="dashed" w:sz="4" w:space="0" w:color="auto"/>
              <w:bottom w:val="single" w:sz="4" w:space="0" w:color="BFBFBF" w:themeColor="background1" w:themeShade="BF"/>
              <w:right w:val="nil"/>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LA_RRR (Derechos)</w:t>
            </w: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Posibilidad</w:t>
            </w: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Posible</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Consecuencias</w:t>
            </w: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Catastrófico</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Nivel de Riesgo</w:t>
            </w:r>
          </w:p>
        </w:tc>
        <w:tc>
          <w:tcPr>
            <w:tcW w:w="2857" w:type="dxa"/>
            <w:gridSpan w:val="2"/>
            <w:tcBorders>
              <w:top w:val="single" w:sz="4" w:space="0" w:color="BFBFBF" w:themeColor="background1" w:themeShade="BF"/>
              <w:left w:val="dashed" w:sz="4" w:space="0" w:color="auto"/>
              <w:bottom w:val="single" w:sz="4" w:space="0" w:color="BFBFBF" w:themeColor="background1" w:themeShade="BF"/>
              <w:right w:val="nil"/>
            </w:tcBorders>
            <w:noWrap/>
            <w:vAlign w:val="center"/>
            <w:hideMark/>
          </w:tcPr>
          <w:p w:rsidR="00257AE2" w:rsidRPr="00C73003" w:rsidRDefault="00257AE2" w:rsidP="00FE2214">
            <w:pPr>
              <w:jc w:val="center"/>
              <w:rPr>
                <w:rFonts w:ascii="Times New Roman" w:hAnsi="Times New Roman" w:cs="Times New Roman"/>
                <w:lang w:val="es-EC"/>
              </w:rPr>
            </w:pPr>
            <w:r w:rsidRPr="00C73003">
              <w:rPr>
                <w:rFonts w:ascii="Times New Roman" w:hAnsi="Times New Roman" w:cs="Times New Roman"/>
                <w:lang w:val="es-EC"/>
              </w:rPr>
              <w:t>Extremo</w:t>
            </w:r>
          </w:p>
        </w:tc>
        <w:tc>
          <w:tcPr>
            <w:tcW w:w="1787" w:type="dxa"/>
            <w:tcBorders>
              <w:top w:val="single" w:sz="4" w:space="0" w:color="BFBFBF" w:themeColor="background1" w:themeShade="BF"/>
              <w:left w:val="nil"/>
              <w:bottom w:val="single" w:sz="4" w:space="0" w:color="BFBFBF" w:themeColor="background1" w:themeShade="BF"/>
              <w:right w:val="dashed" w:sz="4" w:space="0" w:color="auto"/>
            </w:tcBorders>
            <w:noWrap/>
            <w:vAlign w:val="center"/>
            <w:hideMark/>
          </w:tcPr>
          <w:p w:rsidR="00257AE2" w:rsidRPr="00C73003" w:rsidRDefault="00257AE2" w:rsidP="00FE2214">
            <w:pPr>
              <w:jc w:val="center"/>
              <w:rPr>
                <w:rFonts w:ascii="Times New Roman" w:hAnsi="Times New Roman" w:cs="Times New Roman"/>
                <w:lang w:val="es-EC"/>
              </w:rPr>
            </w:pPr>
            <w:r w:rsidRPr="00C73003">
              <w:rPr>
                <w:rFonts w:ascii="Times New Roman" w:hAnsi="Times New Roman" w:cs="Times New Roman"/>
                <w:lang w:val="es-EC"/>
              </w:rPr>
              <w:t>Alto</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770A98" w:rsidTr="003D5A4A">
        <w:trPr>
          <w:trHeight w:val="868"/>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Acción requerida</w:t>
            </w:r>
          </w:p>
        </w:tc>
        <w:tc>
          <w:tcPr>
            <w:tcW w:w="2857" w:type="dxa"/>
            <w:gridSpan w:val="2"/>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r w:rsidRPr="00C73003">
              <w:rPr>
                <w:rFonts w:ascii="Times New Roman" w:hAnsi="Times New Roman" w:cs="Times New Roman"/>
                <w:lang w:val="es-EC"/>
              </w:rPr>
              <w:t>Plan de tratamiento debería ser desarrollado, implementado y evaluado anualmente</w:t>
            </w:r>
          </w:p>
        </w:tc>
        <w:tc>
          <w:tcPr>
            <w:tcW w:w="1787" w:type="dxa"/>
            <w:tcBorders>
              <w:top w:val="single" w:sz="4" w:space="0" w:color="BFBFBF" w:themeColor="background1" w:themeShade="BF"/>
              <w:left w:val="nil"/>
              <w:bottom w:val="single" w:sz="4" w:space="0" w:color="BFBFBF" w:themeColor="background1" w:themeShade="BF"/>
              <w:right w:val="dashed" w:sz="4" w:space="0" w:color="auto"/>
            </w:tcBorders>
            <w:vAlign w:val="center"/>
            <w:hideMark/>
          </w:tcPr>
          <w:p w:rsidR="00257AE2" w:rsidRPr="00C73003" w:rsidRDefault="00257AE2">
            <w:pPr>
              <w:rPr>
                <w:rFonts w:ascii="Times New Roman" w:hAnsi="Times New Roman" w:cs="Times New Roman"/>
                <w:lang w:val="es-EC"/>
              </w:rPr>
            </w:pPr>
            <w:r w:rsidRPr="00C73003">
              <w:rPr>
                <w:rFonts w:ascii="Times New Roman" w:hAnsi="Times New Roman" w:cs="Times New Roman"/>
                <w:lang w:val="es-EC"/>
              </w:rPr>
              <w:t>Acción inmediata es requerida, la implementación del tratamiento debe ser extensiva y evaluada regularmente</w:t>
            </w:r>
          </w:p>
        </w:tc>
        <w:tc>
          <w:tcPr>
            <w:tcW w:w="1879" w:type="dxa"/>
            <w:vMerge w:val="restart"/>
            <w:tcBorders>
              <w:top w:val="single" w:sz="4" w:space="0" w:color="BFBFBF" w:themeColor="background1" w:themeShade="BF"/>
              <w:left w:val="dashed" w:sz="4" w:space="0" w:color="auto"/>
              <w:bottom w:val="single" w:sz="12" w:space="0" w:color="auto"/>
              <w:right w:val="nil"/>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LA_RRR (Restricciones y Responsabilidades)</w:t>
            </w:r>
          </w:p>
        </w:tc>
      </w:tr>
      <w:tr w:rsidR="00257AE2" w:rsidRPr="00770A98" w:rsidTr="003D5A4A">
        <w:trPr>
          <w:trHeight w:val="851"/>
        </w:trPr>
        <w:tc>
          <w:tcPr>
            <w:tcW w:w="0" w:type="auto"/>
            <w:vMerge/>
            <w:tcBorders>
              <w:top w:val="single" w:sz="12" w:space="0" w:color="auto"/>
              <w:left w:val="nil"/>
              <w:bottom w:val="single" w:sz="4"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4" w:space="0" w:color="auto"/>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Tratamiento</w:t>
            </w:r>
          </w:p>
        </w:tc>
        <w:tc>
          <w:tcPr>
            <w:tcW w:w="1370" w:type="dxa"/>
            <w:tcBorders>
              <w:top w:val="single" w:sz="4" w:space="0" w:color="BFBFBF" w:themeColor="background1" w:themeShade="BF"/>
              <w:left w:val="dashed" w:sz="4" w:space="0" w:color="auto"/>
              <w:bottom w:val="single" w:sz="4" w:space="0" w:color="auto"/>
              <w:right w:val="nil"/>
            </w:tcBorders>
            <w:vAlign w:val="center"/>
            <w:hideMark/>
          </w:tcPr>
          <w:p w:rsidR="00257AE2" w:rsidRPr="00C73003" w:rsidRDefault="00257AE2">
            <w:pPr>
              <w:rPr>
                <w:rFonts w:ascii="Times New Roman" w:hAnsi="Times New Roman" w:cs="Times New Roman"/>
                <w:lang w:val="es-EC"/>
              </w:rPr>
            </w:pPr>
            <w:r w:rsidRPr="00C73003">
              <w:rPr>
                <w:rFonts w:ascii="Times New Roman" w:hAnsi="Times New Roman" w:cs="Times New Roman"/>
                <w:lang w:val="es-EC"/>
              </w:rPr>
              <w:t>1) Reubicación a zonas seguras</w:t>
            </w:r>
          </w:p>
        </w:tc>
        <w:tc>
          <w:tcPr>
            <w:tcW w:w="1486" w:type="dxa"/>
            <w:tcBorders>
              <w:top w:val="single" w:sz="4" w:space="0" w:color="BFBFBF" w:themeColor="background1" w:themeShade="BF"/>
              <w:left w:val="nil"/>
              <w:bottom w:val="single" w:sz="4" w:space="0" w:color="auto"/>
              <w:right w:val="nil"/>
            </w:tcBorders>
            <w:vAlign w:val="center"/>
            <w:hideMark/>
          </w:tcPr>
          <w:p w:rsidR="00257AE2" w:rsidRPr="00C73003" w:rsidRDefault="00257AE2">
            <w:pPr>
              <w:rPr>
                <w:rFonts w:ascii="Times New Roman" w:hAnsi="Times New Roman" w:cs="Times New Roman"/>
                <w:lang w:val="es-EC"/>
              </w:rPr>
            </w:pPr>
            <w:r w:rsidRPr="00C73003">
              <w:rPr>
                <w:rFonts w:ascii="Times New Roman" w:hAnsi="Times New Roman" w:cs="Times New Roman"/>
                <w:lang w:val="es-EC"/>
              </w:rPr>
              <w:t>1) No se permiten nuevas construcciones 2) Seguro contra riesgos obligatorio</w:t>
            </w:r>
          </w:p>
        </w:tc>
        <w:tc>
          <w:tcPr>
            <w:tcW w:w="1787" w:type="dxa"/>
            <w:tcBorders>
              <w:top w:val="single" w:sz="4" w:space="0" w:color="BFBFBF" w:themeColor="background1" w:themeShade="BF"/>
              <w:left w:val="nil"/>
              <w:bottom w:val="single" w:sz="4" w:space="0" w:color="auto"/>
              <w:right w:val="dashed" w:sz="4" w:space="0" w:color="auto"/>
            </w:tcBorders>
            <w:vAlign w:val="center"/>
            <w:hideMark/>
          </w:tcPr>
          <w:p w:rsidR="00257AE2" w:rsidRPr="00C73003" w:rsidRDefault="00257AE2">
            <w:pPr>
              <w:rPr>
                <w:rFonts w:ascii="Times New Roman" w:hAnsi="Times New Roman" w:cs="Times New Roman"/>
                <w:lang w:val="es-EC"/>
              </w:rPr>
            </w:pPr>
            <w:r w:rsidRPr="00C73003">
              <w:rPr>
                <w:rFonts w:ascii="Times New Roman" w:hAnsi="Times New Roman" w:cs="Times New Roman"/>
                <w:lang w:val="es-EC"/>
              </w:rPr>
              <w:t>1) No se permiten construcciones con fines social, cultural o instalaciones críticas 2) Construcciones particulares deben cumplir características dadas por la autoridad 3) Seguro contra riesgos opcional</w:t>
            </w:r>
          </w:p>
        </w:tc>
        <w:tc>
          <w:tcPr>
            <w:tcW w:w="0" w:type="auto"/>
            <w:vMerge/>
            <w:tcBorders>
              <w:top w:val="single" w:sz="4" w:space="0" w:color="BFBFBF" w:themeColor="background1" w:themeShade="BF"/>
              <w:left w:val="dashed" w:sz="4" w:space="0" w:color="auto"/>
              <w:bottom w:val="single" w:sz="4" w:space="0" w:color="auto"/>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462" w:type="dxa"/>
            <w:vMerge w:val="restart"/>
            <w:tcBorders>
              <w:top w:val="single" w:sz="4" w:space="0" w:color="auto"/>
              <w:left w:val="nil"/>
              <w:bottom w:val="single" w:sz="12" w:space="0" w:color="auto"/>
              <w:right w:val="dashed" w:sz="4" w:space="0" w:color="auto"/>
            </w:tcBorders>
            <w:noWrap/>
            <w:textDirection w:val="btLr"/>
            <w:vAlign w:val="center"/>
            <w:hideMark/>
          </w:tcPr>
          <w:p w:rsidR="00257AE2" w:rsidRPr="00C73003" w:rsidRDefault="00257AE2">
            <w:pPr>
              <w:ind w:left="113" w:right="113"/>
              <w:jc w:val="center"/>
              <w:rPr>
                <w:rFonts w:ascii="Times New Roman" w:hAnsi="Times New Roman" w:cs="Times New Roman"/>
                <w:lang w:val="es-EC"/>
              </w:rPr>
            </w:pPr>
            <w:r w:rsidRPr="00C73003">
              <w:rPr>
                <w:rFonts w:ascii="Times New Roman" w:hAnsi="Times New Roman" w:cs="Times New Roman"/>
                <w:lang w:val="es-EC"/>
              </w:rPr>
              <w:t>Catastro</w:t>
            </w:r>
          </w:p>
        </w:tc>
        <w:tc>
          <w:tcPr>
            <w:tcW w:w="1487" w:type="dxa"/>
            <w:vMerge w:val="restart"/>
            <w:tcBorders>
              <w:top w:val="single" w:sz="4" w:space="0" w:color="auto"/>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Ubicación</w:t>
            </w: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Clave catastral*</w:t>
            </w:r>
          </w:p>
        </w:tc>
        <w:tc>
          <w:tcPr>
            <w:tcW w:w="1879" w:type="dxa"/>
            <w:vMerge w:val="restart"/>
            <w:tcBorders>
              <w:top w:val="single" w:sz="4" w:space="0" w:color="auto"/>
              <w:left w:val="dashed" w:sz="4" w:space="0" w:color="auto"/>
              <w:bottom w:val="single" w:sz="4" w:space="0" w:color="BFBFBF" w:themeColor="background1" w:themeShade="BF"/>
              <w:right w:val="nil"/>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LA_SpatialUnit</w:t>
            </w: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0" w:type="auto"/>
            <w:vMerge/>
            <w:tcBorders>
              <w:top w:val="single" w:sz="12" w:space="0" w:color="auto"/>
              <w:left w:val="dashed" w:sz="4" w:space="0" w:color="auto"/>
              <w:bottom w:val="single" w:sz="4" w:space="0" w:color="BFBFBF" w:themeColor="background1" w:themeShade="BF"/>
              <w:right w:val="dashed" w:sz="4" w:space="0" w:color="auto"/>
            </w:tcBorders>
            <w:vAlign w:val="center"/>
            <w:hideMark/>
          </w:tcPr>
          <w:p w:rsidR="00257AE2" w:rsidRPr="00C73003" w:rsidRDefault="00257AE2">
            <w:pPr>
              <w:rPr>
                <w:rFonts w:ascii="Times New Roman" w:hAnsi="Times New Roman" w:cs="Times New Roman"/>
                <w:lang w:val="es-EC"/>
              </w:rPr>
            </w:pP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Cantón*</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0" w:type="auto"/>
            <w:vMerge/>
            <w:tcBorders>
              <w:top w:val="single" w:sz="12" w:space="0" w:color="auto"/>
              <w:left w:val="dashed" w:sz="4" w:space="0" w:color="auto"/>
              <w:bottom w:val="single" w:sz="4" w:space="0" w:color="BFBFBF" w:themeColor="background1" w:themeShade="BF"/>
              <w:right w:val="dashed" w:sz="4" w:space="0" w:color="auto"/>
            </w:tcBorders>
            <w:vAlign w:val="center"/>
            <w:hideMark/>
          </w:tcPr>
          <w:p w:rsidR="00257AE2" w:rsidRPr="00C73003" w:rsidRDefault="00257AE2">
            <w:pPr>
              <w:rPr>
                <w:rFonts w:ascii="Times New Roman" w:hAnsi="Times New Roman" w:cs="Times New Roman"/>
                <w:lang w:val="es-EC"/>
              </w:rPr>
            </w:pP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Dirección*</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vMerge w:val="restart"/>
            <w:tcBorders>
              <w:top w:val="single" w:sz="4" w:space="0" w:color="BFBFBF" w:themeColor="background1" w:themeShade="BF"/>
              <w:left w:val="dashed" w:sz="4" w:space="0" w:color="auto"/>
              <w:bottom w:val="single" w:sz="4" w:space="0" w:color="BFBFBF" w:themeColor="background1" w:themeShade="BF"/>
              <w:right w:val="dashed" w:sz="4" w:space="0" w:color="auto"/>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Tenencia aspectos legales</w:t>
            </w: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Régimen de tenencia*</w:t>
            </w:r>
          </w:p>
        </w:tc>
        <w:tc>
          <w:tcPr>
            <w:tcW w:w="0" w:type="auto"/>
            <w:vMerge/>
            <w:tcBorders>
              <w:top w:val="single" w:sz="4" w:space="0" w:color="BFBFBF" w:themeColor="background1" w:themeShade="BF"/>
              <w:left w:val="dashed" w:sz="4" w:space="0" w:color="auto"/>
              <w:bottom w:val="single" w:sz="4" w:space="0" w:color="BFBFBF" w:themeColor="background1" w:themeShade="BF"/>
              <w:right w:val="nil"/>
            </w:tcBorders>
            <w:vAlign w:val="center"/>
            <w:hideMark/>
          </w:tcPr>
          <w:p w:rsidR="00257AE2" w:rsidRPr="00C73003" w:rsidRDefault="00257AE2">
            <w:pPr>
              <w:rPr>
                <w:rFonts w:ascii="Times New Roman" w:hAnsi="Times New Roman" w:cs="Times New Roman"/>
                <w:lang w:val="es-EC"/>
              </w:rPr>
            </w:pPr>
          </w:p>
        </w:tc>
      </w:tr>
      <w:tr w:rsidR="00257AE2" w:rsidRPr="00FE2214" w:rsidTr="003D5A4A">
        <w:trPr>
          <w:trHeight w:val="283"/>
        </w:trPr>
        <w:tc>
          <w:tcPr>
            <w:tcW w:w="0" w:type="auto"/>
            <w:vMerge/>
            <w:tcBorders>
              <w:top w:val="single" w:sz="12" w:space="0" w:color="auto"/>
              <w:left w:val="nil"/>
              <w:bottom w:val="single" w:sz="12"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0" w:type="auto"/>
            <w:vMerge/>
            <w:tcBorders>
              <w:top w:val="single" w:sz="4" w:space="0" w:color="BFBFBF" w:themeColor="background1" w:themeShade="BF"/>
              <w:left w:val="dashed" w:sz="4" w:space="0" w:color="auto"/>
              <w:bottom w:val="single" w:sz="4" w:space="0" w:color="BFBFBF" w:themeColor="background1" w:themeShade="BF"/>
              <w:right w:val="dashed" w:sz="4" w:space="0" w:color="auto"/>
            </w:tcBorders>
            <w:vAlign w:val="center"/>
            <w:hideMark/>
          </w:tcPr>
          <w:p w:rsidR="00257AE2" w:rsidRPr="00C73003" w:rsidRDefault="00257AE2">
            <w:pPr>
              <w:rPr>
                <w:rFonts w:ascii="Times New Roman" w:hAnsi="Times New Roman" w:cs="Times New Roman"/>
                <w:lang w:val="es-EC"/>
              </w:rPr>
            </w:pPr>
          </w:p>
        </w:tc>
        <w:tc>
          <w:tcPr>
            <w:tcW w:w="4644" w:type="dxa"/>
            <w:gridSpan w:val="3"/>
            <w:tcBorders>
              <w:top w:val="single" w:sz="4" w:space="0" w:color="BFBFBF" w:themeColor="background1" w:themeShade="BF"/>
              <w:left w:val="dashed" w:sz="4" w:space="0" w:color="auto"/>
              <w:bottom w:val="single" w:sz="4" w:space="0" w:color="BFBFBF" w:themeColor="background1" w:themeShade="BF"/>
              <w:right w:val="dashed" w:sz="4" w:space="0" w:color="auto"/>
            </w:tcBorders>
            <w:noWrap/>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Propietario*</w:t>
            </w:r>
          </w:p>
        </w:tc>
        <w:tc>
          <w:tcPr>
            <w:tcW w:w="1879" w:type="dxa"/>
            <w:tcBorders>
              <w:top w:val="single" w:sz="4" w:space="0" w:color="BFBFBF" w:themeColor="background1" w:themeShade="BF"/>
              <w:left w:val="dashed" w:sz="4" w:space="0" w:color="auto"/>
              <w:bottom w:val="single" w:sz="4" w:space="0" w:color="BFBFBF" w:themeColor="background1" w:themeShade="BF"/>
              <w:right w:val="nil"/>
            </w:tcBorders>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LA_Party</w:t>
            </w:r>
          </w:p>
        </w:tc>
      </w:tr>
      <w:tr w:rsidR="00257AE2" w:rsidRPr="00FE2214" w:rsidTr="003D5A4A">
        <w:trPr>
          <w:trHeight w:val="283"/>
        </w:trPr>
        <w:tc>
          <w:tcPr>
            <w:tcW w:w="0" w:type="auto"/>
            <w:vMerge/>
            <w:tcBorders>
              <w:top w:val="single" w:sz="12" w:space="0" w:color="auto"/>
              <w:left w:val="nil"/>
              <w:bottom w:val="single" w:sz="8" w:space="0" w:color="auto"/>
              <w:right w:val="dashed" w:sz="4" w:space="0" w:color="auto"/>
            </w:tcBorders>
            <w:vAlign w:val="center"/>
            <w:hideMark/>
          </w:tcPr>
          <w:p w:rsidR="00257AE2" w:rsidRPr="00C73003" w:rsidRDefault="00257AE2">
            <w:pPr>
              <w:rPr>
                <w:rFonts w:ascii="Times New Roman" w:hAnsi="Times New Roman" w:cs="Times New Roman"/>
                <w:lang w:val="es-EC"/>
              </w:rPr>
            </w:pPr>
          </w:p>
        </w:tc>
        <w:tc>
          <w:tcPr>
            <w:tcW w:w="1487" w:type="dxa"/>
            <w:tcBorders>
              <w:top w:val="single" w:sz="4" w:space="0" w:color="BFBFBF" w:themeColor="background1" w:themeShade="BF"/>
              <w:left w:val="dashed" w:sz="4" w:space="0" w:color="auto"/>
              <w:bottom w:val="single" w:sz="8" w:space="0" w:color="auto"/>
              <w:right w:val="dashed" w:sz="4" w:space="0" w:color="auto"/>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Objeto catastral</w:t>
            </w:r>
          </w:p>
        </w:tc>
        <w:tc>
          <w:tcPr>
            <w:tcW w:w="4644" w:type="dxa"/>
            <w:gridSpan w:val="3"/>
            <w:tcBorders>
              <w:top w:val="single" w:sz="4" w:space="0" w:color="BFBFBF" w:themeColor="background1" w:themeShade="BF"/>
              <w:left w:val="dashed" w:sz="4" w:space="0" w:color="auto"/>
              <w:bottom w:val="single" w:sz="8" w:space="0" w:color="auto"/>
              <w:right w:val="dashed" w:sz="4" w:space="0" w:color="auto"/>
            </w:tcBorders>
            <w:noWrap/>
            <w:vAlign w:val="center"/>
            <w:hideMark/>
          </w:tcPr>
          <w:p w:rsidR="00257AE2" w:rsidRPr="00C73003" w:rsidRDefault="002831F0">
            <w:pPr>
              <w:jc w:val="center"/>
              <w:rPr>
                <w:rFonts w:ascii="Times New Roman" w:hAnsi="Times New Roman" w:cs="Times New Roman"/>
                <w:lang w:val="es-EC"/>
              </w:rPr>
            </w:pPr>
            <w:r>
              <w:rPr>
                <w:noProof/>
                <w:lang w:val="es-EC" w:eastAsia="es-EC"/>
              </w:rPr>
              <mc:AlternateContent>
                <mc:Choice Requires="wps">
                  <w:drawing>
                    <wp:anchor distT="0" distB="0" distL="114300" distR="114300" simplePos="0" relativeHeight="251662336" behindDoc="0" locked="0" layoutInCell="1" allowOverlap="1" wp14:anchorId="0C719000" wp14:editId="7BADFBE8">
                      <wp:simplePos x="0" y="0"/>
                      <wp:positionH relativeFrom="margin">
                        <wp:posOffset>-1036955</wp:posOffset>
                      </wp:positionH>
                      <wp:positionV relativeFrom="paragraph">
                        <wp:posOffset>304165</wp:posOffset>
                      </wp:positionV>
                      <wp:extent cx="5124450" cy="495300"/>
                      <wp:effectExtent l="0" t="0" r="0" b="0"/>
                      <wp:wrapNone/>
                      <wp:docPr id="20" name="Rectángulo 20"/>
                      <wp:cNvGraphicFramePr/>
                      <a:graphic xmlns:a="http://schemas.openxmlformats.org/drawingml/2006/main">
                        <a:graphicData uri="http://schemas.microsoft.com/office/word/2010/wordprocessingShape">
                          <wps:wsp>
                            <wps:cNvSpPr/>
                            <wps:spPr>
                              <a:xfrm>
                                <a:off x="0" y="0"/>
                                <a:ext cx="5124450" cy="49530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rsidR="00D0652A" w:rsidRDefault="00D0652A" w:rsidP="00257AE2">
                                  <w:pPr>
                                    <w:pStyle w:val="Sinespaciado"/>
                                    <w:rPr>
                                      <w:rFonts w:ascii="Times New Roman" w:hAnsi="Times New Roman"/>
                                      <w:sz w:val="18"/>
                                      <w:szCs w:val="18"/>
                                      <w:lang w:val="es-EC"/>
                                    </w:rPr>
                                  </w:pPr>
                                  <w:r>
                                    <w:rPr>
                                      <w:rFonts w:ascii="Times New Roman" w:hAnsi="Times New Roman"/>
                                      <w:sz w:val="18"/>
                                      <w:szCs w:val="18"/>
                                      <w:lang w:val="es-EC"/>
                                    </w:rPr>
                                    <w:t>* El dato cambia según la base catastral inmobiliaria, **Indica la unidad espacial en la que se está trabajando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719000" id="Rectángulo 20" o:spid="_x0000_s1027" style="position:absolute;left:0;text-align:left;margin-left:-81.65pt;margin-top:23.95pt;width:403.5pt;height:39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" filled="f" stroked="f">
                      <v:textbox>
                        <w:txbxContent>
                          <w:p w:rsidR="00D0652A" w:rsidRDefault="00D0652A" w:rsidP="00257AE2">
                            <w:pPr>
                              <w:pStyle w:val="Sinespaciado"/>
                              <w:rPr>
                                <w:rFonts w:ascii="Times New Roman" w:hAnsi="Times New Roman"/>
                                <w:sz w:val="18"/>
                                <w:szCs w:val="18"/>
                                <w:lang w:val="es-EC"/>
                              </w:rPr>
                            </w:pPr>
                            <w:r>
                              <w:rPr>
                                <w:rFonts w:ascii="Times New Roman" w:hAnsi="Times New Roman"/>
                                <w:sz w:val="18"/>
                                <w:szCs w:val="18"/>
                                <w:lang w:val="es-EC"/>
                              </w:rPr>
                              <w:t>* El dato cambia según la base catastral inmobiliaria, **Indica la unidad espacial en la que se está trabajando</w:t>
                            </w:r>
                          </w:p>
                        </w:txbxContent>
                      </v:textbox>
                      <w10:wrap anchorx="margin"/>
                    </v:rect>
                  </w:pict>
                </mc:Fallback>
              </mc:AlternateContent>
            </w:r>
            <w:r w:rsidR="00257AE2" w:rsidRPr="00C73003">
              <w:rPr>
                <w:rFonts w:ascii="Times New Roman" w:hAnsi="Times New Roman" w:cs="Times New Roman"/>
                <w:lang w:val="es-EC"/>
              </w:rPr>
              <w:t>Predio**</w:t>
            </w:r>
          </w:p>
        </w:tc>
        <w:tc>
          <w:tcPr>
            <w:tcW w:w="1879" w:type="dxa"/>
            <w:tcBorders>
              <w:top w:val="single" w:sz="4" w:space="0" w:color="BFBFBF" w:themeColor="background1" w:themeShade="BF"/>
              <w:left w:val="dashed" w:sz="4" w:space="0" w:color="auto"/>
              <w:bottom w:val="single" w:sz="8" w:space="0" w:color="auto"/>
              <w:right w:val="nil"/>
            </w:tcBorders>
            <w:vAlign w:val="center"/>
            <w:hideMark/>
          </w:tcPr>
          <w:p w:rsidR="00257AE2" w:rsidRPr="00C73003" w:rsidRDefault="00257AE2">
            <w:pPr>
              <w:jc w:val="center"/>
              <w:rPr>
                <w:rFonts w:ascii="Times New Roman" w:hAnsi="Times New Roman" w:cs="Times New Roman"/>
                <w:lang w:val="es-EC"/>
              </w:rPr>
            </w:pPr>
            <w:r w:rsidRPr="00C73003">
              <w:rPr>
                <w:rFonts w:ascii="Times New Roman" w:hAnsi="Times New Roman" w:cs="Times New Roman"/>
                <w:lang w:val="es-EC"/>
              </w:rPr>
              <w:t>LA_BaUnit</w:t>
            </w:r>
          </w:p>
        </w:tc>
      </w:tr>
    </w:tbl>
    <w:p w:rsidR="00257AE2" w:rsidRDefault="00257AE2" w:rsidP="00257AE2">
      <w:pPr>
        <w:rPr>
          <w:sz w:val="24"/>
          <w:szCs w:val="24"/>
        </w:rPr>
      </w:pPr>
    </w:p>
    <w:p w:rsidR="00257AE2" w:rsidRDefault="00257AE2" w:rsidP="00257AE2">
      <w:pPr>
        <w:rPr>
          <w:sz w:val="24"/>
          <w:szCs w:val="24"/>
        </w:rPr>
      </w:pPr>
    </w:p>
    <w:p w:rsidR="003D5A4A" w:rsidRDefault="003D5A4A" w:rsidP="00DF5227">
      <w:pPr>
        <w:pStyle w:val="Textoindependiente2"/>
        <w:tabs>
          <w:tab w:val="left" w:pos="432"/>
        </w:tabs>
        <w:spacing w:after="0" w:line="240" w:lineRule="auto"/>
        <w:jc w:val="both"/>
        <w:rPr>
          <w:b/>
          <w:sz w:val="24"/>
          <w:szCs w:val="24"/>
          <w:lang w:val="es-EC"/>
        </w:rPr>
      </w:pPr>
    </w:p>
    <w:p w:rsidR="003C015A" w:rsidRPr="004F0E0D" w:rsidRDefault="00560C1F" w:rsidP="00DF5227">
      <w:pPr>
        <w:pStyle w:val="Textoindependiente2"/>
        <w:tabs>
          <w:tab w:val="left" w:pos="432"/>
        </w:tabs>
        <w:spacing w:after="0" w:line="240" w:lineRule="auto"/>
        <w:jc w:val="both"/>
        <w:rPr>
          <w:b/>
          <w:sz w:val="24"/>
          <w:szCs w:val="24"/>
          <w:lang w:val="es-EC"/>
        </w:rPr>
      </w:pPr>
      <w:r w:rsidRPr="004F0E0D">
        <w:rPr>
          <w:b/>
          <w:sz w:val="24"/>
          <w:szCs w:val="24"/>
          <w:lang w:val="es-EC"/>
        </w:rPr>
        <w:lastRenderedPageBreak/>
        <w:t>CONCLUSIONES</w:t>
      </w:r>
    </w:p>
    <w:p w:rsidR="00DF5227" w:rsidRPr="00DF5227" w:rsidRDefault="00DF5227" w:rsidP="00DF5227">
      <w:pPr>
        <w:rPr>
          <w:sz w:val="24"/>
          <w:szCs w:val="24"/>
          <w:lang w:val="es-EC"/>
        </w:rPr>
      </w:pPr>
    </w:p>
    <w:p w:rsidR="00AD77E1" w:rsidRPr="00AD77E1" w:rsidRDefault="00AD77E1" w:rsidP="00AD77E1">
      <w:pPr>
        <w:pStyle w:val="Textoindependiente"/>
        <w:ind w:firstLine="567"/>
        <w:contextualSpacing/>
        <w:jc w:val="both"/>
        <w:rPr>
          <w:rFonts w:eastAsia="MS Mincho"/>
          <w:sz w:val="24"/>
          <w:szCs w:val="24"/>
          <w:lang w:val="es-EC"/>
        </w:rPr>
      </w:pPr>
      <w:r>
        <w:rPr>
          <w:rFonts w:eastAsia="MS Mincho"/>
          <w:sz w:val="24"/>
          <w:szCs w:val="24"/>
          <w:lang w:val="es-EC"/>
        </w:rPr>
        <w:t>El concepto de Administración</w:t>
      </w:r>
      <w:r w:rsidR="00023B4D">
        <w:rPr>
          <w:rFonts w:eastAsia="MS Mincho"/>
          <w:sz w:val="24"/>
          <w:szCs w:val="24"/>
          <w:lang w:val="es-EC"/>
        </w:rPr>
        <w:t xml:space="preserve"> del Territorio</w:t>
      </w:r>
      <w:r>
        <w:rPr>
          <w:rFonts w:eastAsia="MS Mincho"/>
          <w:sz w:val="24"/>
          <w:szCs w:val="24"/>
          <w:lang w:val="es-EC"/>
        </w:rPr>
        <w:t xml:space="preserve"> es poco utilizado a nivel regional, dificulta</w:t>
      </w:r>
      <w:r w:rsidR="00023B4D">
        <w:rPr>
          <w:rFonts w:eastAsia="MS Mincho"/>
          <w:sz w:val="24"/>
          <w:szCs w:val="24"/>
          <w:lang w:val="es-EC"/>
        </w:rPr>
        <w:t>ndo</w:t>
      </w:r>
      <w:r>
        <w:rPr>
          <w:rFonts w:eastAsia="MS Mincho"/>
          <w:sz w:val="24"/>
          <w:szCs w:val="24"/>
          <w:lang w:val="es-EC"/>
        </w:rPr>
        <w:t xml:space="preserve"> el adecuado trabajo de los sistemas de </w:t>
      </w:r>
      <w:r w:rsidR="00023B4D">
        <w:rPr>
          <w:rFonts w:eastAsia="MS Mincho"/>
          <w:sz w:val="24"/>
          <w:szCs w:val="24"/>
          <w:lang w:val="es-EC"/>
        </w:rPr>
        <w:t>información desarrollados</w:t>
      </w:r>
      <w:r>
        <w:rPr>
          <w:rFonts w:eastAsia="MS Mincho"/>
          <w:sz w:val="24"/>
          <w:szCs w:val="24"/>
          <w:lang w:val="es-EC"/>
        </w:rPr>
        <w:t xml:space="preserve"> </w:t>
      </w:r>
      <w:r w:rsidR="00023B4D">
        <w:rPr>
          <w:rFonts w:eastAsia="MS Mincho"/>
          <w:sz w:val="24"/>
          <w:szCs w:val="24"/>
          <w:lang w:val="es-EC"/>
        </w:rPr>
        <w:t>para</w:t>
      </w:r>
      <w:r>
        <w:rPr>
          <w:rFonts w:eastAsia="MS Mincho"/>
          <w:sz w:val="24"/>
          <w:szCs w:val="24"/>
          <w:lang w:val="es-EC"/>
        </w:rPr>
        <w:t xml:space="preserve"> el cumplimiento de sus funciones tradicionales como son la tenencia, </w:t>
      </w:r>
      <w:r w:rsidR="00023B4D">
        <w:rPr>
          <w:rFonts w:eastAsia="MS Mincho"/>
          <w:sz w:val="24"/>
          <w:szCs w:val="24"/>
          <w:lang w:val="es-EC"/>
        </w:rPr>
        <w:t xml:space="preserve">la </w:t>
      </w:r>
      <w:r>
        <w:rPr>
          <w:rFonts w:eastAsia="MS Mincho"/>
          <w:sz w:val="24"/>
          <w:szCs w:val="24"/>
          <w:lang w:val="es-EC"/>
        </w:rPr>
        <w:t xml:space="preserve">valoración, </w:t>
      </w:r>
      <w:r w:rsidR="00023B4D">
        <w:rPr>
          <w:rFonts w:eastAsia="MS Mincho"/>
          <w:sz w:val="24"/>
          <w:szCs w:val="24"/>
          <w:lang w:val="es-EC"/>
        </w:rPr>
        <w:t xml:space="preserve">el </w:t>
      </w:r>
      <w:r>
        <w:rPr>
          <w:rFonts w:eastAsia="MS Mincho"/>
          <w:sz w:val="24"/>
          <w:szCs w:val="24"/>
          <w:lang w:val="es-EC"/>
        </w:rPr>
        <w:t>uso y desarrollo del territorio</w:t>
      </w:r>
      <w:r w:rsidRPr="0072381D">
        <w:rPr>
          <w:rFonts w:eastAsia="MS Mincho"/>
          <w:sz w:val="24"/>
          <w:szCs w:val="24"/>
          <w:lang w:val="es-EC"/>
        </w:rPr>
        <w:t>;</w:t>
      </w:r>
      <w:r>
        <w:rPr>
          <w:rFonts w:eastAsia="MS Mincho"/>
          <w:sz w:val="24"/>
          <w:szCs w:val="24"/>
          <w:lang w:val="es-EC"/>
        </w:rPr>
        <w:t xml:space="preserve"> </w:t>
      </w:r>
      <w:r w:rsidR="002D63ED">
        <w:rPr>
          <w:rFonts w:eastAsia="MS Mincho"/>
          <w:sz w:val="24"/>
          <w:szCs w:val="24"/>
          <w:lang w:val="es-EC"/>
        </w:rPr>
        <w:t>y aún más</w:t>
      </w:r>
      <w:r w:rsidR="00023B4D">
        <w:rPr>
          <w:rFonts w:eastAsia="MS Mincho"/>
          <w:sz w:val="24"/>
          <w:szCs w:val="24"/>
          <w:lang w:val="es-EC"/>
        </w:rPr>
        <w:t>,</w:t>
      </w:r>
      <w:r>
        <w:rPr>
          <w:rFonts w:eastAsia="MS Mincho"/>
          <w:sz w:val="24"/>
          <w:szCs w:val="24"/>
          <w:lang w:val="es-EC"/>
        </w:rPr>
        <w:t xml:space="preserve"> la explotación de su</w:t>
      </w:r>
      <w:r w:rsidR="002D63ED">
        <w:rPr>
          <w:rFonts w:eastAsia="MS Mincho"/>
          <w:sz w:val="24"/>
          <w:szCs w:val="24"/>
          <w:lang w:val="es-EC"/>
        </w:rPr>
        <w:t xml:space="preserve"> verdadero potencial </w:t>
      </w:r>
      <w:r w:rsidR="00023B4D">
        <w:rPr>
          <w:rFonts w:eastAsia="MS Mincho"/>
          <w:sz w:val="24"/>
          <w:szCs w:val="24"/>
          <w:lang w:val="es-EC"/>
        </w:rPr>
        <w:t>que puede ser</w:t>
      </w:r>
      <w:r>
        <w:rPr>
          <w:rFonts w:eastAsia="MS Mincho"/>
          <w:sz w:val="24"/>
          <w:szCs w:val="24"/>
          <w:lang w:val="es-EC"/>
        </w:rPr>
        <w:t xml:space="preserve"> aplicado en otras áreas que utilizan como base la información territorial.</w:t>
      </w:r>
      <w:r w:rsidR="007B4C16">
        <w:rPr>
          <w:sz w:val="24"/>
          <w:szCs w:val="24"/>
          <w:lang w:val="es-EC"/>
        </w:rPr>
        <w:tab/>
      </w:r>
    </w:p>
    <w:p w:rsidR="00B54284" w:rsidRPr="00AD77E1" w:rsidRDefault="00FD026E" w:rsidP="00B54284">
      <w:pPr>
        <w:pStyle w:val="Textoindependiente"/>
        <w:ind w:firstLine="567"/>
        <w:contextualSpacing/>
        <w:jc w:val="both"/>
        <w:rPr>
          <w:rFonts w:eastAsia="MS Mincho"/>
          <w:sz w:val="24"/>
          <w:szCs w:val="24"/>
          <w:lang w:val="es-EC"/>
        </w:rPr>
      </w:pPr>
      <w:r>
        <w:rPr>
          <w:rFonts w:eastAsia="MS Mincho"/>
          <w:sz w:val="24"/>
          <w:szCs w:val="24"/>
          <w:lang w:val="es-EC"/>
        </w:rPr>
        <w:t xml:space="preserve">La gestión de riesgos </w:t>
      </w:r>
      <w:r w:rsidR="002D63ED">
        <w:rPr>
          <w:rFonts w:eastAsia="MS Mincho"/>
          <w:sz w:val="24"/>
          <w:szCs w:val="24"/>
          <w:lang w:val="es-EC"/>
        </w:rPr>
        <w:t>en el</w:t>
      </w:r>
      <w:r w:rsidR="00B54284" w:rsidRPr="00B54284">
        <w:rPr>
          <w:rFonts w:eastAsia="MS Mincho"/>
          <w:sz w:val="24"/>
          <w:szCs w:val="24"/>
          <w:lang w:val="es-EC"/>
        </w:rPr>
        <w:t xml:space="preserve"> Ecuador está principalmente </w:t>
      </w:r>
      <w:r w:rsidR="002D63ED">
        <w:rPr>
          <w:rFonts w:eastAsia="MS Mincho"/>
          <w:sz w:val="24"/>
          <w:szCs w:val="24"/>
          <w:lang w:val="es-EC"/>
        </w:rPr>
        <w:t>enfocada</w:t>
      </w:r>
      <w:r w:rsidR="00B54284" w:rsidRPr="00B54284">
        <w:rPr>
          <w:rFonts w:eastAsia="MS Mincho"/>
          <w:sz w:val="24"/>
          <w:szCs w:val="24"/>
          <w:lang w:val="es-EC"/>
        </w:rPr>
        <w:t xml:space="preserve"> a la respuesta de emergen</w:t>
      </w:r>
      <w:r w:rsidR="00B54284">
        <w:rPr>
          <w:rFonts w:eastAsia="MS Mincho"/>
          <w:sz w:val="24"/>
          <w:szCs w:val="24"/>
          <w:lang w:val="es-EC"/>
        </w:rPr>
        <w:t xml:space="preserve">cias y no tanto </w:t>
      </w:r>
      <w:r w:rsidR="00CB0067">
        <w:rPr>
          <w:rFonts w:eastAsia="MS Mincho"/>
          <w:sz w:val="24"/>
          <w:szCs w:val="24"/>
          <w:lang w:val="es-EC"/>
        </w:rPr>
        <w:t>a la prevención, aun cuando</w:t>
      </w:r>
      <w:r w:rsidR="00B54284">
        <w:rPr>
          <w:rFonts w:eastAsia="MS Mincho"/>
          <w:sz w:val="24"/>
          <w:szCs w:val="24"/>
          <w:lang w:val="es-EC"/>
        </w:rPr>
        <w:t xml:space="preserve"> </w:t>
      </w:r>
      <w:r w:rsidR="002D63ED">
        <w:rPr>
          <w:rFonts w:eastAsia="MS Mincho"/>
          <w:sz w:val="24"/>
          <w:szCs w:val="24"/>
          <w:lang w:val="es-EC"/>
        </w:rPr>
        <w:t xml:space="preserve">este último </w:t>
      </w:r>
      <w:r w:rsidR="00B54284">
        <w:rPr>
          <w:rFonts w:eastAsia="MS Mincho"/>
          <w:sz w:val="24"/>
          <w:szCs w:val="24"/>
          <w:lang w:val="es-EC"/>
        </w:rPr>
        <w:t xml:space="preserve">ha demostrado ser el </w:t>
      </w:r>
      <w:r>
        <w:rPr>
          <w:rFonts w:eastAsia="MS Mincho"/>
          <w:sz w:val="24"/>
          <w:szCs w:val="24"/>
          <w:lang w:val="es-EC"/>
        </w:rPr>
        <w:t xml:space="preserve">mejor y </w:t>
      </w:r>
      <w:r w:rsidR="00B54284">
        <w:rPr>
          <w:rFonts w:eastAsia="MS Mincho"/>
          <w:sz w:val="24"/>
          <w:szCs w:val="24"/>
          <w:lang w:val="es-EC"/>
        </w:rPr>
        <w:t xml:space="preserve">más efectivo </w:t>
      </w:r>
      <w:r>
        <w:rPr>
          <w:rFonts w:eastAsia="MS Mincho"/>
          <w:sz w:val="24"/>
          <w:szCs w:val="24"/>
          <w:lang w:val="es-EC"/>
        </w:rPr>
        <w:t xml:space="preserve">método </w:t>
      </w:r>
      <w:r w:rsidR="00B54284">
        <w:rPr>
          <w:rFonts w:eastAsia="MS Mincho"/>
          <w:sz w:val="24"/>
          <w:szCs w:val="24"/>
          <w:lang w:val="es-EC"/>
        </w:rPr>
        <w:t>para reducir los efectos devastad</w:t>
      </w:r>
      <w:r w:rsidR="00CB0067">
        <w:rPr>
          <w:rFonts w:eastAsia="MS Mincho"/>
          <w:sz w:val="24"/>
          <w:szCs w:val="24"/>
          <w:lang w:val="es-EC"/>
        </w:rPr>
        <w:t>ores de los desastres naturales, especialmente a través de una óptima planificación y desarrollo del ter</w:t>
      </w:r>
      <w:r w:rsidR="00AD77E1">
        <w:rPr>
          <w:rFonts w:eastAsia="MS Mincho"/>
          <w:sz w:val="24"/>
          <w:szCs w:val="24"/>
          <w:lang w:val="es-EC"/>
        </w:rPr>
        <w:t>ritorio</w:t>
      </w:r>
      <w:r w:rsidR="00023B4D">
        <w:rPr>
          <w:rFonts w:eastAsia="MS Mincho"/>
          <w:sz w:val="24"/>
          <w:szCs w:val="24"/>
          <w:lang w:val="es-EC"/>
        </w:rPr>
        <w:t>. L</w:t>
      </w:r>
      <w:r w:rsidR="00AD77E1">
        <w:rPr>
          <w:rFonts w:eastAsia="MS Mincho"/>
          <w:sz w:val="24"/>
          <w:szCs w:val="24"/>
          <w:lang w:val="es-EC"/>
        </w:rPr>
        <w:t xml:space="preserve">a falta de una gestión de riesgos integral ha desembocado en la falta de </w:t>
      </w:r>
      <w:r w:rsidR="002D63ED">
        <w:rPr>
          <w:rFonts w:eastAsia="MS Mincho"/>
          <w:sz w:val="24"/>
          <w:szCs w:val="24"/>
          <w:lang w:val="es-EC"/>
        </w:rPr>
        <w:t>procesos y</w:t>
      </w:r>
      <w:r w:rsidR="00AD77E1">
        <w:rPr>
          <w:rFonts w:eastAsia="MS Mincho"/>
          <w:sz w:val="24"/>
          <w:szCs w:val="24"/>
          <w:lang w:val="es-EC"/>
        </w:rPr>
        <w:t xml:space="preserve"> metodologías capaces de garantizar una adecuada gestión de riesgos, especialmente desde el ámbito territorial.</w:t>
      </w:r>
    </w:p>
    <w:p w:rsidR="00D322AA" w:rsidRDefault="00D322AA" w:rsidP="00D322AA">
      <w:pPr>
        <w:pStyle w:val="Textoindependiente"/>
        <w:ind w:firstLine="567"/>
        <w:contextualSpacing/>
        <w:jc w:val="both"/>
        <w:rPr>
          <w:rFonts w:eastAsia="MS Mincho"/>
          <w:sz w:val="24"/>
          <w:szCs w:val="24"/>
          <w:lang w:val="es-EC"/>
        </w:rPr>
      </w:pPr>
      <w:r>
        <w:rPr>
          <w:rFonts w:eastAsia="MS Mincho"/>
          <w:sz w:val="24"/>
          <w:szCs w:val="24"/>
          <w:lang w:val="es-EC"/>
        </w:rPr>
        <w:t xml:space="preserve">Existe una </w:t>
      </w:r>
      <w:r w:rsidR="00A11E52">
        <w:rPr>
          <w:rFonts w:eastAsia="MS Mincho"/>
          <w:sz w:val="24"/>
          <w:szCs w:val="24"/>
          <w:lang w:val="es-EC"/>
        </w:rPr>
        <w:t>estrecha relación</w:t>
      </w:r>
      <w:r>
        <w:rPr>
          <w:rFonts w:eastAsia="MS Mincho"/>
          <w:sz w:val="24"/>
          <w:szCs w:val="24"/>
          <w:lang w:val="es-EC"/>
        </w:rPr>
        <w:t xml:space="preserve"> </w:t>
      </w:r>
      <w:r w:rsidR="00A11E52">
        <w:rPr>
          <w:rFonts w:eastAsia="MS Mincho"/>
          <w:sz w:val="24"/>
          <w:szCs w:val="24"/>
          <w:lang w:val="es-EC"/>
        </w:rPr>
        <w:t xml:space="preserve">entre la administración </w:t>
      </w:r>
      <w:r w:rsidR="00023B4D">
        <w:rPr>
          <w:rFonts w:eastAsia="MS Mincho"/>
          <w:sz w:val="24"/>
          <w:szCs w:val="24"/>
          <w:lang w:val="es-EC"/>
        </w:rPr>
        <w:t xml:space="preserve"> del </w:t>
      </w:r>
      <w:r w:rsidR="00A11E52">
        <w:rPr>
          <w:rFonts w:eastAsia="MS Mincho"/>
          <w:sz w:val="24"/>
          <w:szCs w:val="24"/>
          <w:lang w:val="es-EC"/>
        </w:rPr>
        <w:t>territori</w:t>
      </w:r>
      <w:r w:rsidR="00023B4D">
        <w:rPr>
          <w:rFonts w:eastAsia="MS Mincho"/>
          <w:sz w:val="24"/>
          <w:szCs w:val="24"/>
          <w:lang w:val="es-EC"/>
        </w:rPr>
        <w:t>o</w:t>
      </w:r>
      <w:r w:rsidR="00A11E52">
        <w:rPr>
          <w:rFonts w:eastAsia="MS Mincho"/>
          <w:sz w:val="24"/>
          <w:szCs w:val="24"/>
          <w:lang w:val="es-EC"/>
        </w:rPr>
        <w:t xml:space="preserve"> y la gestión de riesgos</w:t>
      </w:r>
      <w:r w:rsidR="00023B4D">
        <w:rPr>
          <w:rFonts w:eastAsia="MS Mincho"/>
          <w:sz w:val="24"/>
          <w:szCs w:val="24"/>
          <w:lang w:val="es-EC"/>
        </w:rPr>
        <w:t>, que</w:t>
      </w:r>
      <w:r>
        <w:rPr>
          <w:rFonts w:eastAsia="MS Mincho"/>
          <w:sz w:val="24"/>
          <w:szCs w:val="24"/>
          <w:lang w:val="es-EC"/>
        </w:rPr>
        <w:t xml:space="preserve"> </w:t>
      </w:r>
      <w:r w:rsidR="00023B4D">
        <w:rPr>
          <w:rFonts w:eastAsia="MS Mincho"/>
          <w:sz w:val="24"/>
          <w:szCs w:val="24"/>
          <w:lang w:val="es-EC"/>
        </w:rPr>
        <w:t>se</w:t>
      </w:r>
      <w:r>
        <w:rPr>
          <w:rFonts w:eastAsia="MS Mincho"/>
          <w:sz w:val="24"/>
          <w:szCs w:val="24"/>
          <w:lang w:val="es-EC"/>
        </w:rPr>
        <w:t xml:space="preserve"> evidenci</w:t>
      </w:r>
      <w:r w:rsidR="00023B4D">
        <w:rPr>
          <w:rFonts w:eastAsia="MS Mincho"/>
          <w:sz w:val="24"/>
          <w:szCs w:val="24"/>
          <w:lang w:val="es-EC"/>
        </w:rPr>
        <w:t>ó</w:t>
      </w:r>
      <w:r>
        <w:rPr>
          <w:rFonts w:eastAsia="MS Mincho"/>
          <w:sz w:val="24"/>
          <w:szCs w:val="24"/>
          <w:lang w:val="es-EC"/>
        </w:rPr>
        <w:t xml:space="preserve"> durante el desarrollo del presente trabajo, al mostrar </w:t>
      </w:r>
      <w:r w:rsidR="00A11E52">
        <w:rPr>
          <w:rFonts w:eastAsia="MS Mincho"/>
          <w:sz w:val="24"/>
          <w:szCs w:val="24"/>
          <w:lang w:val="es-EC"/>
        </w:rPr>
        <w:t>la</w:t>
      </w:r>
      <w:r w:rsidR="00B54284" w:rsidRPr="00B54284">
        <w:rPr>
          <w:rFonts w:eastAsia="MS Mincho"/>
          <w:sz w:val="24"/>
          <w:szCs w:val="24"/>
          <w:lang w:val="es-EC"/>
        </w:rPr>
        <w:t xml:space="preserve"> uti</w:t>
      </w:r>
      <w:r w:rsidR="00AD77E1">
        <w:rPr>
          <w:rFonts w:eastAsia="MS Mincho"/>
          <w:sz w:val="24"/>
          <w:szCs w:val="24"/>
          <w:lang w:val="es-EC"/>
        </w:rPr>
        <w:t>lidad y</w:t>
      </w:r>
      <w:r w:rsidR="00FD026E">
        <w:rPr>
          <w:rFonts w:eastAsia="MS Mincho"/>
          <w:sz w:val="24"/>
          <w:szCs w:val="24"/>
          <w:lang w:val="es-EC"/>
        </w:rPr>
        <w:t xml:space="preserve"> aplicabilidad de la información y</w:t>
      </w:r>
      <w:r w:rsidR="00B54284">
        <w:rPr>
          <w:rFonts w:eastAsia="MS Mincho"/>
          <w:sz w:val="24"/>
          <w:szCs w:val="24"/>
          <w:lang w:val="es-EC"/>
        </w:rPr>
        <w:t xml:space="preserve"> </w:t>
      </w:r>
      <w:r w:rsidR="00A11E52">
        <w:rPr>
          <w:rFonts w:eastAsia="MS Mincho"/>
          <w:sz w:val="24"/>
          <w:szCs w:val="24"/>
          <w:lang w:val="es-EC"/>
        </w:rPr>
        <w:t xml:space="preserve">herramientas </w:t>
      </w:r>
      <w:r w:rsidR="00023B4D">
        <w:rPr>
          <w:rFonts w:eastAsia="MS Mincho"/>
          <w:sz w:val="24"/>
          <w:szCs w:val="24"/>
          <w:lang w:val="es-EC"/>
        </w:rPr>
        <w:t>utilizadas</w:t>
      </w:r>
      <w:r w:rsidR="00820AF3">
        <w:rPr>
          <w:rFonts w:eastAsia="MS Mincho"/>
          <w:sz w:val="24"/>
          <w:szCs w:val="24"/>
          <w:lang w:val="es-EC"/>
        </w:rPr>
        <w:t>,</w:t>
      </w:r>
      <w:r w:rsidR="00023B4D">
        <w:rPr>
          <w:rFonts w:eastAsia="MS Mincho"/>
          <w:sz w:val="24"/>
          <w:szCs w:val="24"/>
          <w:lang w:val="es-EC"/>
        </w:rPr>
        <w:t xml:space="preserve"> como </w:t>
      </w:r>
      <w:r w:rsidR="00AC70AF">
        <w:rPr>
          <w:rFonts w:eastAsia="MS Mincho"/>
          <w:sz w:val="24"/>
          <w:szCs w:val="24"/>
          <w:lang w:val="es-EC"/>
        </w:rPr>
        <w:t>el modelo LADM, los sistemas catastrales</w:t>
      </w:r>
      <w:r w:rsidR="00AD77E1">
        <w:rPr>
          <w:rFonts w:eastAsia="MS Mincho"/>
          <w:sz w:val="24"/>
          <w:szCs w:val="24"/>
          <w:lang w:val="es-EC"/>
        </w:rPr>
        <w:t>, elementos informáticos como el STDM</w:t>
      </w:r>
      <w:r w:rsidR="00AC70AF">
        <w:rPr>
          <w:rFonts w:eastAsia="MS Mincho"/>
          <w:sz w:val="24"/>
          <w:szCs w:val="24"/>
          <w:lang w:val="es-EC"/>
        </w:rPr>
        <w:t xml:space="preserve"> y la capacidad de generar n</w:t>
      </w:r>
      <w:r w:rsidR="00023B4D">
        <w:rPr>
          <w:rFonts w:eastAsia="MS Mincho"/>
          <w:sz w:val="24"/>
          <w:szCs w:val="24"/>
          <w:lang w:val="es-EC"/>
        </w:rPr>
        <w:t>ormas y políticas territoriales. E</w:t>
      </w:r>
      <w:r w:rsidR="00AD77E1" w:rsidRPr="00A11E52">
        <w:rPr>
          <w:rFonts w:eastAsia="MS Mincho"/>
          <w:sz w:val="24"/>
          <w:szCs w:val="24"/>
          <w:lang w:val="es-EC"/>
        </w:rPr>
        <w:t xml:space="preserve">l uso de información y aplicación de herramientas utilizadas por los sistemas de administración territorial en el proceso de gestión de riesgos </w:t>
      </w:r>
      <w:r w:rsidR="00820AF3">
        <w:rPr>
          <w:rFonts w:eastAsia="MS Mincho"/>
          <w:sz w:val="24"/>
          <w:szCs w:val="24"/>
          <w:lang w:val="es-EC"/>
        </w:rPr>
        <w:t>permite</w:t>
      </w:r>
      <w:r w:rsidR="00AD77E1" w:rsidRPr="00A11E52">
        <w:rPr>
          <w:rFonts w:eastAsia="MS Mincho"/>
          <w:sz w:val="24"/>
          <w:szCs w:val="24"/>
          <w:lang w:val="es-EC"/>
        </w:rPr>
        <w:t xml:space="preserve"> una planificación territorial más eficiente al considerar acciones que ayuden a reducir el riesgo por peligros de origen natural, así como la difusión de la información disponible a todos los </w:t>
      </w:r>
      <w:r w:rsidR="00820AF3">
        <w:rPr>
          <w:rFonts w:eastAsia="MS Mincho"/>
          <w:sz w:val="24"/>
          <w:szCs w:val="24"/>
          <w:lang w:val="es-EC"/>
        </w:rPr>
        <w:t>interesado</w:t>
      </w:r>
      <w:r w:rsidR="00AD77E1" w:rsidRPr="00A11E52">
        <w:rPr>
          <w:rFonts w:eastAsia="MS Mincho"/>
          <w:sz w:val="24"/>
          <w:szCs w:val="24"/>
          <w:lang w:val="es-EC"/>
        </w:rPr>
        <w:t>s que requieren de ella.</w:t>
      </w:r>
    </w:p>
    <w:p w:rsidR="00A11E52" w:rsidRDefault="008F15C7" w:rsidP="00A77AA0">
      <w:pPr>
        <w:pStyle w:val="Textoindependiente"/>
        <w:ind w:firstLine="567"/>
        <w:contextualSpacing/>
        <w:jc w:val="both"/>
        <w:rPr>
          <w:rFonts w:eastAsia="MS Mincho"/>
          <w:sz w:val="24"/>
          <w:szCs w:val="24"/>
          <w:lang w:val="es-EC"/>
        </w:rPr>
      </w:pPr>
      <w:r>
        <w:rPr>
          <w:rFonts w:eastAsia="MS Mincho"/>
          <w:sz w:val="24"/>
          <w:szCs w:val="24"/>
          <w:lang w:val="es-EC"/>
        </w:rPr>
        <w:t xml:space="preserve">El modelo LADM permite </w:t>
      </w:r>
      <w:r w:rsidR="009E73F4">
        <w:rPr>
          <w:rFonts w:eastAsia="MS Mincho"/>
          <w:sz w:val="24"/>
          <w:szCs w:val="24"/>
          <w:lang w:val="es-EC"/>
        </w:rPr>
        <w:t>trabajar</w:t>
      </w:r>
      <w:r>
        <w:rPr>
          <w:rFonts w:eastAsia="MS Mincho"/>
          <w:sz w:val="24"/>
          <w:szCs w:val="24"/>
          <w:lang w:val="es-EC"/>
        </w:rPr>
        <w:t xml:space="preserve"> de acuerdo </w:t>
      </w:r>
      <w:r w:rsidR="00EC754A">
        <w:rPr>
          <w:rFonts w:eastAsia="MS Mincho"/>
          <w:sz w:val="24"/>
          <w:szCs w:val="24"/>
          <w:lang w:val="es-EC"/>
        </w:rPr>
        <w:t>con</w:t>
      </w:r>
      <w:r>
        <w:rPr>
          <w:rFonts w:eastAsia="MS Mincho"/>
          <w:sz w:val="24"/>
          <w:szCs w:val="24"/>
          <w:lang w:val="es-EC"/>
        </w:rPr>
        <w:t xml:space="preserve"> diferentes </w:t>
      </w:r>
      <w:r w:rsidR="009E73F4">
        <w:rPr>
          <w:rFonts w:eastAsia="MS Mincho"/>
          <w:sz w:val="24"/>
          <w:szCs w:val="24"/>
          <w:lang w:val="es-EC"/>
        </w:rPr>
        <w:t>niveles</w:t>
      </w:r>
      <w:r>
        <w:rPr>
          <w:rFonts w:eastAsia="MS Mincho"/>
          <w:sz w:val="24"/>
          <w:szCs w:val="24"/>
          <w:lang w:val="es-EC"/>
        </w:rPr>
        <w:t xml:space="preserve"> territorial</w:t>
      </w:r>
      <w:r w:rsidR="009E73F4">
        <w:rPr>
          <w:rFonts w:eastAsia="MS Mincho"/>
          <w:sz w:val="24"/>
          <w:szCs w:val="24"/>
          <w:lang w:val="es-EC"/>
        </w:rPr>
        <w:t>es</w:t>
      </w:r>
      <w:r>
        <w:rPr>
          <w:rFonts w:eastAsia="MS Mincho"/>
          <w:sz w:val="24"/>
          <w:szCs w:val="24"/>
          <w:lang w:val="es-EC"/>
        </w:rPr>
        <w:t xml:space="preserve">, </w:t>
      </w:r>
      <w:r w:rsidR="00EC754A">
        <w:rPr>
          <w:rFonts w:eastAsia="MS Mincho"/>
          <w:sz w:val="24"/>
          <w:szCs w:val="24"/>
          <w:lang w:val="es-EC"/>
        </w:rPr>
        <w:t>de los que</w:t>
      </w:r>
      <w:r>
        <w:rPr>
          <w:rFonts w:eastAsia="MS Mincho"/>
          <w:sz w:val="24"/>
          <w:szCs w:val="24"/>
          <w:lang w:val="es-EC"/>
        </w:rPr>
        <w:t xml:space="preserve"> </w:t>
      </w:r>
      <w:r w:rsidR="009E73F4">
        <w:rPr>
          <w:rFonts w:eastAsia="MS Mincho"/>
          <w:sz w:val="24"/>
          <w:szCs w:val="24"/>
          <w:lang w:val="es-EC"/>
        </w:rPr>
        <w:t>dependen</w:t>
      </w:r>
      <w:r>
        <w:rPr>
          <w:rFonts w:eastAsia="MS Mincho"/>
          <w:sz w:val="24"/>
          <w:szCs w:val="24"/>
          <w:lang w:val="es-EC"/>
        </w:rPr>
        <w:t xml:space="preserve"> los derechos, </w:t>
      </w:r>
      <w:r w:rsidR="009E73F4">
        <w:rPr>
          <w:rFonts w:eastAsia="MS Mincho"/>
          <w:sz w:val="24"/>
          <w:szCs w:val="24"/>
          <w:lang w:val="es-EC"/>
        </w:rPr>
        <w:t>responsabilidades</w:t>
      </w:r>
      <w:r>
        <w:rPr>
          <w:rFonts w:eastAsia="MS Mincho"/>
          <w:sz w:val="24"/>
          <w:szCs w:val="24"/>
          <w:lang w:val="es-EC"/>
        </w:rPr>
        <w:t xml:space="preserve"> y </w:t>
      </w:r>
      <w:r w:rsidR="009E73F4">
        <w:rPr>
          <w:rFonts w:eastAsia="MS Mincho"/>
          <w:sz w:val="24"/>
          <w:szCs w:val="24"/>
          <w:lang w:val="es-EC"/>
        </w:rPr>
        <w:t>restricciones</w:t>
      </w:r>
      <w:r>
        <w:rPr>
          <w:rFonts w:eastAsia="MS Mincho"/>
          <w:sz w:val="24"/>
          <w:szCs w:val="24"/>
          <w:lang w:val="es-EC"/>
        </w:rPr>
        <w:t xml:space="preserve"> que </w:t>
      </w:r>
      <w:r w:rsidR="00EC754A">
        <w:rPr>
          <w:rFonts w:eastAsia="MS Mincho"/>
          <w:sz w:val="24"/>
          <w:szCs w:val="24"/>
          <w:lang w:val="es-EC"/>
        </w:rPr>
        <w:t xml:space="preserve">pueden </w:t>
      </w:r>
      <w:r>
        <w:rPr>
          <w:rFonts w:eastAsia="MS Mincho"/>
          <w:sz w:val="24"/>
          <w:szCs w:val="24"/>
          <w:lang w:val="es-EC"/>
        </w:rPr>
        <w:t>se</w:t>
      </w:r>
      <w:r w:rsidR="00EC754A">
        <w:rPr>
          <w:rFonts w:eastAsia="MS Mincho"/>
          <w:sz w:val="24"/>
          <w:szCs w:val="24"/>
          <w:lang w:val="es-EC"/>
        </w:rPr>
        <w:t>r tomado</w:t>
      </w:r>
      <w:r>
        <w:rPr>
          <w:rFonts w:eastAsia="MS Mincho"/>
          <w:sz w:val="24"/>
          <w:szCs w:val="24"/>
          <w:lang w:val="es-EC"/>
        </w:rPr>
        <w:t>s</w:t>
      </w:r>
      <w:r w:rsidR="00EC754A">
        <w:rPr>
          <w:rFonts w:eastAsia="MS Mincho"/>
          <w:sz w:val="24"/>
          <w:szCs w:val="24"/>
          <w:lang w:val="es-EC"/>
        </w:rPr>
        <w:t>. P</w:t>
      </w:r>
      <w:r w:rsidR="009E73F4">
        <w:rPr>
          <w:rFonts w:eastAsia="MS Mincho"/>
          <w:sz w:val="24"/>
          <w:szCs w:val="24"/>
          <w:lang w:val="es-EC"/>
        </w:rPr>
        <w:t>ara el caso</w:t>
      </w:r>
      <w:r>
        <w:rPr>
          <w:rFonts w:eastAsia="MS Mincho"/>
          <w:sz w:val="24"/>
          <w:szCs w:val="24"/>
          <w:lang w:val="es-EC"/>
        </w:rPr>
        <w:t xml:space="preserve"> </w:t>
      </w:r>
      <w:r w:rsidR="009E73F4">
        <w:rPr>
          <w:rFonts w:eastAsia="MS Mincho"/>
          <w:sz w:val="24"/>
          <w:szCs w:val="24"/>
          <w:lang w:val="es-EC"/>
        </w:rPr>
        <w:t>de</w:t>
      </w:r>
      <w:r>
        <w:rPr>
          <w:rFonts w:eastAsia="MS Mincho"/>
          <w:sz w:val="24"/>
          <w:szCs w:val="24"/>
          <w:lang w:val="es-EC"/>
        </w:rPr>
        <w:t xml:space="preserve"> estudio </w:t>
      </w:r>
      <w:r w:rsidR="009E73F4">
        <w:rPr>
          <w:rFonts w:eastAsia="MS Mincho"/>
          <w:sz w:val="24"/>
          <w:szCs w:val="24"/>
          <w:lang w:val="es-EC"/>
        </w:rPr>
        <w:t>presentado</w:t>
      </w:r>
      <w:r w:rsidR="00EC754A">
        <w:rPr>
          <w:rFonts w:eastAsia="MS Mincho"/>
          <w:sz w:val="24"/>
          <w:szCs w:val="24"/>
          <w:lang w:val="es-EC"/>
        </w:rPr>
        <w:t>,</w:t>
      </w:r>
      <w:r w:rsidR="009E73F4">
        <w:rPr>
          <w:rFonts w:eastAsia="MS Mincho"/>
          <w:sz w:val="24"/>
          <w:szCs w:val="24"/>
          <w:lang w:val="es-EC"/>
        </w:rPr>
        <w:t xml:space="preserve"> </w:t>
      </w:r>
      <w:r w:rsidR="002D63ED">
        <w:rPr>
          <w:rFonts w:eastAsia="MS Mincho"/>
          <w:sz w:val="24"/>
          <w:szCs w:val="24"/>
          <w:lang w:val="es-EC"/>
        </w:rPr>
        <w:t>el nivel óptimo</w:t>
      </w:r>
      <w:r>
        <w:rPr>
          <w:rFonts w:eastAsia="MS Mincho"/>
          <w:sz w:val="24"/>
          <w:szCs w:val="24"/>
          <w:lang w:val="es-EC"/>
        </w:rPr>
        <w:t xml:space="preserve"> </w:t>
      </w:r>
      <w:r w:rsidR="00D322AA">
        <w:rPr>
          <w:rFonts w:eastAsia="MS Mincho"/>
          <w:sz w:val="24"/>
          <w:szCs w:val="24"/>
          <w:lang w:val="es-EC"/>
        </w:rPr>
        <w:t xml:space="preserve">fue el </w:t>
      </w:r>
      <w:r w:rsidR="009E73F4">
        <w:rPr>
          <w:rFonts w:eastAsia="MS Mincho"/>
          <w:sz w:val="24"/>
          <w:szCs w:val="24"/>
          <w:lang w:val="es-EC"/>
        </w:rPr>
        <w:t>de l</w:t>
      </w:r>
      <w:r w:rsidR="007E60DF" w:rsidRPr="00B54284">
        <w:rPr>
          <w:rFonts w:eastAsia="MS Mincho"/>
          <w:sz w:val="24"/>
          <w:szCs w:val="24"/>
          <w:lang w:val="es-EC"/>
        </w:rPr>
        <w:t xml:space="preserve">os GADs </w:t>
      </w:r>
      <w:r w:rsidR="009E73F4">
        <w:rPr>
          <w:rFonts w:eastAsia="MS Mincho"/>
          <w:sz w:val="24"/>
          <w:szCs w:val="24"/>
          <w:lang w:val="es-EC"/>
        </w:rPr>
        <w:t xml:space="preserve">municipales, </w:t>
      </w:r>
      <w:r w:rsidR="002D63ED">
        <w:rPr>
          <w:rFonts w:eastAsia="MS Mincho"/>
          <w:sz w:val="24"/>
          <w:szCs w:val="24"/>
          <w:lang w:val="es-EC"/>
        </w:rPr>
        <w:t xml:space="preserve">ya que </w:t>
      </w:r>
      <w:r w:rsidR="009E73F4">
        <w:rPr>
          <w:rFonts w:eastAsia="MS Mincho"/>
          <w:sz w:val="24"/>
          <w:szCs w:val="24"/>
          <w:lang w:val="es-EC"/>
        </w:rPr>
        <w:t>al ser uno de los objetivos alcanzar una gestión de riesgos a nivel pred</w:t>
      </w:r>
      <w:r w:rsidR="002D63ED">
        <w:rPr>
          <w:rFonts w:eastAsia="MS Mincho"/>
          <w:sz w:val="24"/>
          <w:szCs w:val="24"/>
          <w:lang w:val="es-EC"/>
        </w:rPr>
        <w:t>ial</w:t>
      </w:r>
      <w:r w:rsidR="00EC754A">
        <w:rPr>
          <w:rFonts w:eastAsia="MS Mincho"/>
          <w:sz w:val="24"/>
          <w:szCs w:val="24"/>
          <w:lang w:val="es-EC"/>
        </w:rPr>
        <w:t xml:space="preserve">. Por ley, </w:t>
      </w:r>
      <w:r w:rsidR="009E73F4">
        <w:rPr>
          <w:rFonts w:eastAsia="MS Mincho"/>
          <w:sz w:val="24"/>
          <w:szCs w:val="24"/>
          <w:lang w:val="es-EC"/>
        </w:rPr>
        <w:t xml:space="preserve">los GADs </w:t>
      </w:r>
      <w:r w:rsidR="002D63ED">
        <w:rPr>
          <w:rFonts w:eastAsia="MS Mincho"/>
          <w:sz w:val="24"/>
          <w:szCs w:val="24"/>
          <w:lang w:val="es-EC"/>
        </w:rPr>
        <w:t>municipales</w:t>
      </w:r>
      <w:r w:rsidR="009E73F4">
        <w:rPr>
          <w:rFonts w:eastAsia="MS Mincho"/>
          <w:sz w:val="24"/>
          <w:szCs w:val="24"/>
          <w:lang w:val="es-EC"/>
        </w:rPr>
        <w:t xml:space="preserve"> e</w:t>
      </w:r>
      <w:r w:rsidR="002D63ED">
        <w:rPr>
          <w:rFonts w:eastAsia="MS Mincho"/>
          <w:sz w:val="24"/>
          <w:szCs w:val="24"/>
          <w:lang w:val="es-EC"/>
        </w:rPr>
        <w:t>n</w:t>
      </w:r>
      <w:r w:rsidR="009E73F4">
        <w:rPr>
          <w:rFonts w:eastAsia="MS Mincho"/>
          <w:sz w:val="24"/>
          <w:szCs w:val="24"/>
          <w:lang w:val="es-EC"/>
        </w:rPr>
        <w:t xml:space="preserve"> el Ecuador </w:t>
      </w:r>
      <w:r w:rsidR="002D63ED">
        <w:rPr>
          <w:rFonts w:eastAsia="MS Mincho"/>
          <w:sz w:val="24"/>
          <w:szCs w:val="24"/>
          <w:lang w:val="es-EC"/>
        </w:rPr>
        <w:t>están</w:t>
      </w:r>
      <w:r w:rsidR="009E73F4">
        <w:rPr>
          <w:rFonts w:eastAsia="MS Mincho"/>
          <w:sz w:val="24"/>
          <w:szCs w:val="24"/>
          <w:lang w:val="es-EC"/>
        </w:rPr>
        <w:t xml:space="preserve"> a cargo de los </w:t>
      </w:r>
      <w:r w:rsidR="002D63ED">
        <w:rPr>
          <w:rFonts w:eastAsia="MS Mincho"/>
          <w:sz w:val="24"/>
          <w:szCs w:val="24"/>
          <w:lang w:val="es-EC"/>
        </w:rPr>
        <w:t>catastros</w:t>
      </w:r>
      <w:r w:rsidR="009E73F4">
        <w:rPr>
          <w:rFonts w:eastAsia="MS Mincho"/>
          <w:sz w:val="24"/>
          <w:szCs w:val="24"/>
          <w:lang w:val="es-EC"/>
        </w:rPr>
        <w:t xml:space="preserve"> </w:t>
      </w:r>
      <w:r w:rsidR="002D63ED">
        <w:rPr>
          <w:rFonts w:eastAsia="MS Mincho"/>
          <w:sz w:val="24"/>
          <w:szCs w:val="24"/>
          <w:lang w:val="es-EC"/>
        </w:rPr>
        <w:t>inmobiliarios</w:t>
      </w:r>
      <w:r w:rsidR="00A77AA0">
        <w:rPr>
          <w:rFonts w:eastAsia="MS Mincho"/>
          <w:sz w:val="24"/>
          <w:szCs w:val="24"/>
          <w:lang w:val="es-EC"/>
        </w:rPr>
        <w:t xml:space="preserve">, además </w:t>
      </w:r>
      <w:r w:rsidR="009E73F4">
        <w:rPr>
          <w:rFonts w:eastAsia="MS Mincho"/>
          <w:sz w:val="24"/>
          <w:szCs w:val="24"/>
          <w:lang w:val="es-EC"/>
        </w:rPr>
        <w:t xml:space="preserve">de </w:t>
      </w:r>
      <w:r w:rsidR="00D322AA">
        <w:rPr>
          <w:rFonts w:eastAsia="MS Mincho"/>
          <w:sz w:val="24"/>
          <w:szCs w:val="24"/>
          <w:lang w:val="es-EC"/>
        </w:rPr>
        <w:t xml:space="preserve">la </w:t>
      </w:r>
      <w:r w:rsidR="00EC754A">
        <w:rPr>
          <w:rFonts w:eastAsia="MS Mincho"/>
          <w:sz w:val="24"/>
          <w:szCs w:val="24"/>
          <w:lang w:val="es-EC"/>
        </w:rPr>
        <w:t>g</w:t>
      </w:r>
      <w:r w:rsidR="00D322AA">
        <w:rPr>
          <w:rFonts w:eastAsia="MS Mincho"/>
          <w:sz w:val="24"/>
          <w:szCs w:val="24"/>
          <w:lang w:val="es-EC"/>
        </w:rPr>
        <w:t>estión de</w:t>
      </w:r>
      <w:r w:rsidR="009E73F4">
        <w:rPr>
          <w:rFonts w:eastAsia="MS Mincho"/>
          <w:sz w:val="24"/>
          <w:szCs w:val="24"/>
          <w:lang w:val="es-EC"/>
        </w:rPr>
        <w:t xml:space="preserve"> riesgos </w:t>
      </w:r>
      <w:r w:rsidR="002D63ED">
        <w:rPr>
          <w:rFonts w:eastAsia="MS Mincho"/>
          <w:sz w:val="24"/>
          <w:szCs w:val="24"/>
          <w:lang w:val="es-EC"/>
        </w:rPr>
        <w:t>dentro</w:t>
      </w:r>
      <w:r w:rsidR="009E73F4">
        <w:rPr>
          <w:rFonts w:eastAsia="MS Mincho"/>
          <w:sz w:val="24"/>
          <w:szCs w:val="24"/>
          <w:lang w:val="es-EC"/>
        </w:rPr>
        <w:t xml:space="preserve"> de su </w:t>
      </w:r>
      <w:r w:rsidR="002D63ED">
        <w:rPr>
          <w:rFonts w:eastAsia="MS Mincho"/>
          <w:sz w:val="24"/>
          <w:szCs w:val="24"/>
          <w:lang w:val="es-EC"/>
        </w:rPr>
        <w:t>circunscripción</w:t>
      </w:r>
      <w:r w:rsidR="009E73F4">
        <w:rPr>
          <w:rFonts w:eastAsia="MS Mincho"/>
          <w:sz w:val="24"/>
          <w:szCs w:val="24"/>
          <w:lang w:val="es-EC"/>
        </w:rPr>
        <w:t xml:space="preserve"> </w:t>
      </w:r>
      <w:r w:rsidR="002D63ED">
        <w:rPr>
          <w:rFonts w:eastAsia="MS Mincho"/>
          <w:sz w:val="24"/>
          <w:szCs w:val="24"/>
          <w:lang w:val="es-EC"/>
        </w:rPr>
        <w:t>territorial</w:t>
      </w:r>
      <w:r w:rsidR="00EC754A">
        <w:rPr>
          <w:rFonts w:eastAsia="MS Mincho"/>
          <w:sz w:val="24"/>
          <w:szCs w:val="24"/>
          <w:lang w:val="es-EC"/>
        </w:rPr>
        <w:t>;</w:t>
      </w:r>
      <w:r w:rsidR="00A77AA0">
        <w:rPr>
          <w:rFonts w:eastAsia="MS Mincho"/>
          <w:sz w:val="24"/>
          <w:szCs w:val="24"/>
          <w:lang w:val="es-EC"/>
        </w:rPr>
        <w:t xml:space="preserve"> cuentan con la información así como con las herramientas necesarias para la aplicación de la metodología propuesta </w:t>
      </w:r>
      <w:r w:rsidR="00EC754A">
        <w:rPr>
          <w:rFonts w:eastAsia="MS Mincho"/>
          <w:sz w:val="24"/>
          <w:szCs w:val="24"/>
          <w:lang w:val="es-EC"/>
        </w:rPr>
        <w:t>para</w:t>
      </w:r>
      <w:r w:rsidR="00A77AA0">
        <w:rPr>
          <w:rFonts w:eastAsia="MS Mincho"/>
          <w:sz w:val="24"/>
          <w:szCs w:val="24"/>
          <w:lang w:val="es-EC"/>
        </w:rPr>
        <w:t xml:space="preserve"> cumplir de forma óptima con sus obligaciones.</w:t>
      </w:r>
    </w:p>
    <w:p w:rsidR="003E515C" w:rsidRPr="003E515C" w:rsidRDefault="00A77AA0" w:rsidP="00B54284">
      <w:pPr>
        <w:pStyle w:val="Textoindependiente"/>
        <w:ind w:firstLine="567"/>
        <w:contextualSpacing/>
        <w:jc w:val="both"/>
        <w:rPr>
          <w:rFonts w:eastAsia="MS Mincho"/>
          <w:sz w:val="24"/>
          <w:szCs w:val="24"/>
          <w:lang w:val="es-EC"/>
        </w:rPr>
      </w:pPr>
      <w:r>
        <w:rPr>
          <w:rFonts w:eastAsia="MS Mincho"/>
          <w:sz w:val="24"/>
          <w:szCs w:val="24"/>
          <w:lang w:val="es-EC"/>
        </w:rPr>
        <w:t>Las herramientas de</w:t>
      </w:r>
      <w:r w:rsidR="003E515C" w:rsidRPr="003E515C">
        <w:rPr>
          <w:rFonts w:eastAsia="MS Mincho"/>
          <w:sz w:val="24"/>
          <w:szCs w:val="24"/>
          <w:lang w:val="es-EC"/>
        </w:rPr>
        <w:t xml:space="preserve"> administración territorial no solo </w:t>
      </w:r>
      <w:r>
        <w:rPr>
          <w:rFonts w:eastAsia="MS Mincho"/>
          <w:sz w:val="24"/>
          <w:szCs w:val="24"/>
          <w:lang w:val="es-EC"/>
        </w:rPr>
        <w:t>ayudan en</w:t>
      </w:r>
      <w:r w:rsidR="003E515C" w:rsidRPr="003E515C">
        <w:rPr>
          <w:rFonts w:eastAsia="MS Mincho"/>
          <w:sz w:val="24"/>
          <w:szCs w:val="24"/>
          <w:lang w:val="es-EC"/>
        </w:rPr>
        <w:t xml:space="preserve"> el proceso de gestión de </w:t>
      </w:r>
      <w:r w:rsidRPr="003E515C">
        <w:rPr>
          <w:rFonts w:eastAsia="MS Mincho"/>
          <w:sz w:val="24"/>
          <w:szCs w:val="24"/>
          <w:lang w:val="es-EC"/>
        </w:rPr>
        <w:t>riesgos,</w:t>
      </w:r>
      <w:r w:rsidR="003E515C" w:rsidRPr="003E515C">
        <w:rPr>
          <w:rFonts w:eastAsia="MS Mincho"/>
          <w:sz w:val="24"/>
          <w:szCs w:val="24"/>
          <w:lang w:val="es-EC"/>
        </w:rPr>
        <w:t xml:space="preserve"> sino </w:t>
      </w:r>
      <w:r w:rsidR="00124E41">
        <w:rPr>
          <w:rFonts w:eastAsia="MS Mincho"/>
          <w:sz w:val="24"/>
          <w:szCs w:val="24"/>
          <w:lang w:val="es-EC"/>
        </w:rPr>
        <w:t>que facilitan la gestión</w:t>
      </w:r>
      <w:r w:rsidR="003E515C" w:rsidRPr="003E515C">
        <w:rPr>
          <w:rFonts w:eastAsia="MS Mincho"/>
          <w:sz w:val="24"/>
          <w:szCs w:val="24"/>
          <w:lang w:val="es-EC"/>
        </w:rPr>
        <w:t xml:space="preserve"> de la información </w:t>
      </w:r>
      <w:r w:rsidR="00124E41">
        <w:rPr>
          <w:rFonts w:eastAsia="MS Mincho"/>
          <w:sz w:val="24"/>
          <w:szCs w:val="24"/>
          <w:lang w:val="es-EC"/>
        </w:rPr>
        <w:t>resultante</w:t>
      </w:r>
      <w:r w:rsidR="003E515C" w:rsidRPr="003E515C">
        <w:rPr>
          <w:rFonts w:eastAsia="MS Mincho"/>
          <w:sz w:val="24"/>
          <w:szCs w:val="24"/>
          <w:lang w:val="es-EC"/>
        </w:rPr>
        <w:t xml:space="preserve"> de este procedimiento</w:t>
      </w:r>
      <w:r w:rsidR="002D63ED">
        <w:rPr>
          <w:rFonts w:eastAsia="MS Mincho"/>
          <w:sz w:val="24"/>
          <w:szCs w:val="24"/>
          <w:lang w:val="es-EC"/>
        </w:rPr>
        <w:t>,</w:t>
      </w:r>
      <w:r w:rsidR="00124E41">
        <w:rPr>
          <w:rFonts w:eastAsia="MS Mincho"/>
          <w:sz w:val="24"/>
          <w:szCs w:val="24"/>
          <w:lang w:val="es-EC"/>
        </w:rPr>
        <w:t xml:space="preserve"> permit</w:t>
      </w:r>
      <w:r w:rsidR="005C7450">
        <w:rPr>
          <w:rFonts w:eastAsia="MS Mincho"/>
          <w:sz w:val="24"/>
          <w:szCs w:val="24"/>
          <w:lang w:val="es-EC"/>
        </w:rPr>
        <w:t xml:space="preserve">iendo </w:t>
      </w:r>
      <w:r w:rsidR="00124E41">
        <w:rPr>
          <w:rFonts w:eastAsia="MS Mincho"/>
          <w:sz w:val="24"/>
          <w:szCs w:val="24"/>
          <w:lang w:val="es-EC"/>
        </w:rPr>
        <w:t>asentar la</w:t>
      </w:r>
      <w:r w:rsidR="003E515C" w:rsidRPr="003E515C">
        <w:rPr>
          <w:rFonts w:eastAsia="MS Mincho"/>
          <w:sz w:val="24"/>
          <w:szCs w:val="24"/>
          <w:lang w:val="es-EC"/>
        </w:rPr>
        <w:t xml:space="preserve"> planificación </w:t>
      </w:r>
      <w:r w:rsidR="00124E41">
        <w:rPr>
          <w:rFonts w:eastAsia="MS Mincho"/>
          <w:sz w:val="24"/>
          <w:szCs w:val="24"/>
          <w:lang w:val="es-EC"/>
        </w:rPr>
        <w:t xml:space="preserve">propuesta </w:t>
      </w:r>
      <w:r w:rsidR="003E515C" w:rsidRPr="003E515C">
        <w:rPr>
          <w:rFonts w:eastAsia="MS Mincho"/>
          <w:sz w:val="24"/>
          <w:szCs w:val="24"/>
          <w:lang w:val="es-EC"/>
        </w:rPr>
        <w:t>de forma efectiva en el territorio, como se demostró a través de la generación de un sistema catastral basado en el modelo</w:t>
      </w:r>
      <w:r w:rsidR="00124E41">
        <w:rPr>
          <w:rFonts w:eastAsia="MS Mincho"/>
          <w:sz w:val="24"/>
          <w:szCs w:val="24"/>
          <w:lang w:val="es-EC"/>
        </w:rPr>
        <w:t xml:space="preserve"> LADM, donde el riesgo determinó</w:t>
      </w:r>
      <w:r w:rsidR="003E515C" w:rsidRPr="003E515C">
        <w:rPr>
          <w:rFonts w:eastAsia="MS Mincho"/>
          <w:sz w:val="24"/>
          <w:szCs w:val="24"/>
          <w:lang w:val="es-EC"/>
        </w:rPr>
        <w:t xml:space="preserve"> nuevos derechos, rest</w:t>
      </w:r>
      <w:r w:rsidR="00124E41">
        <w:rPr>
          <w:rFonts w:eastAsia="MS Mincho"/>
          <w:sz w:val="24"/>
          <w:szCs w:val="24"/>
          <w:lang w:val="es-EC"/>
        </w:rPr>
        <w:t>ricciones y responsabilidades para</w:t>
      </w:r>
      <w:r w:rsidR="003E515C" w:rsidRPr="003E515C">
        <w:rPr>
          <w:rFonts w:eastAsia="MS Mincho"/>
          <w:sz w:val="24"/>
          <w:szCs w:val="24"/>
          <w:lang w:val="es-EC"/>
        </w:rPr>
        <w:t xml:space="preserve"> quienes ejercen la tenencia de los predios. Además, los sistemas catastrales permiten poner en conocimiento de los diferentes usuarios la información referente a riesgos, como se hizo a través de</w:t>
      </w:r>
      <w:r w:rsidR="008F15C7">
        <w:rPr>
          <w:rFonts w:eastAsia="MS Mincho"/>
          <w:sz w:val="24"/>
          <w:szCs w:val="24"/>
          <w:lang w:val="es-EC"/>
        </w:rPr>
        <w:t>l SCR y</w:t>
      </w:r>
      <w:r w:rsidR="003E515C" w:rsidRPr="003E515C">
        <w:rPr>
          <w:rFonts w:eastAsia="MS Mincho"/>
          <w:sz w:val="24"/>
          <w:szCs w:val="24"/>
          <w:lang w:val="es-EC"/>
        </w:rPr>
        <w:t xml:space="preserve"> la generación de Informes Prediales de Riesgo. </w:t>
      </w:r>
    </w:p>
    <w:p w:rsidR="00AC70AF" w:rsidRDefault="00AC70AF" w:rsidP="00AC70AF">
      <w:pPr>
        <w:pStyle w:val="Textoindependiente"/>
        <w:ind w:firstLine="567"/>
        <w:contextualSpacing/>
        <w:jc w:val="both"/>
        <w:rPr>
          <w:rFonts w:eastAsia="MS Mincho"/>
          <w:sz w:val="24"/>
          <w:szCs w:val="24"/>
          <w:lang w:val="es-EC"/>
        </w:rPr>
      </w:pPr>
      <w:r>
        <w:rPr>
          <w:rFonts w:eastAsia="MS Mincho"/>
          <w:sz w:val="24"/>
          <w:szCs w:val="24"/>
          <w:lang w:val="es-EC"/>
        </w:rPr>
        <w:t xml:space="preserve">La metodología propuesta para la gestión de riesgos naturales en el territorio permitió </w:t>
      </w:r>
      <w:r w:rsidR="00124E41">
        <w:rPr>
          <w:rFonts w:eastAsia="MS Mincho"/>
          <w:sz w:val="24"/>
          <w:szCs w:val="24"/>
          <w:lang w:val="es-EC"/>
        </w:rPr>
        <w:t>ob</w:t>
      </w:r>
      <w:r>
        <w:rPr>
          <w:rFonts w:eastAsia="MS Mincho"/>
          <w:sz w:val="24"/>
          <w:szCs w:val="24"/>
          <w:lang w:val="es-EC"/>
        </w:rPr>
        <w:t xml:space="preserve">tener una completa valoración </w:t>
      </w:r>
      <w:r w:rsidR="005C7450">
        <w:rPr>
          <w:rFonts w:eastAsia="MS Mincho"/>
          <w:sz w:val="24"/>
          <w:szCs w:val="24"/>
          <w:lang w:val="es-EC"/>
        </w:rPr>
        <w:t>de los potenciales daños</w:t>
      </w:r>
      <w:r>
        <w:rPr>
          <w:rFonts w:eastAsia="MS Mincho"/>
          <w:sz w:val="24"/>
          <w:szCs w:val="24"/>
          <w:lang w:val="es-EC"/>
        </w:rPr>
        <w:t xml:space="preserve"> relacionado</w:t>
      </w:r>
      <w:r w:rsidR="005C7450">
        <w:rPr>
          <w:rFonts w:eastAsia="MS Mincho"/>
          <w:sz w:val="24"/>
          <w:szCs w:val="24"/>
          <w:lang w:val="es-EC"/>
        </w:rPr>
        <w:t>s</w:t>
      </w:r>
      <w:r>
        <w:rPr>
          <w:rFonts w:eastAsia="MS Mincho"/>
          <w:sz w:val="24"/>
          <w:szCs w:val="24"/>
          <w:lang w:val="es-EC"/>
        </w:rPr>
        <w:t xml:space="preserve"> </w:t>
      </w:r>
      <w:r w:rsidR="005C7450">
        <w:rPr>
          <w:rFonts w:eastAsia="MS Mincho"/>
          <w:sz w:val="24"/>
          <w:szCs w:val="24"/>
          <w:lang w:val="es-EC"/>
        </w:rPr>
        <w:t>con e</w:t>
      </w:r>
      <w:r>
        <w:rPr>
          <w:rFonts w:eastAsia="MS Mincho"/>
          <w:sz w:val="24"/>
          <w:szCs w:val="24"/>
          <w:lang w:val="es-EC"/>
        </w:rPr>
        <w:t xml:space="preserve">l peligro volcánico de los lahares del volcán Cotopaxi en el valle de Los Chillos, </w:t>
      </w:r>
      <w:r w:rsidR="005C7450">
        <w:rPr>
          <w:rFonts w:eastAsia="MS Mincho"/>
          <w:sz w:val="24"/>
          <w:szCs w:val="24"/>
          <w:lang w:val="es-EC"/>
        </w:rPr>
        <w:t>evidenciándose</w:t>
      </w:r>
      <w:r>
        <w:rPr>
          <w:rFonts w:eastAsia="MS Mincho"/>
          <w:sz w:val="24"/>
          <w:szCs w:val="24"/>
          <w:lang w:val="es-EC"/>
        </w:rPr>
        <w:t xml:space="preserve"> que</w:t>
      </w:r>
      <w:r w:rsidR="00B54284" w:rsidRPr="00B54284">
        <w:rPr>
          <w:rFonts w:eastAsia="MS Mincho"/>
          <w:sz w:val="24"/>
          <w:szCs w:val="24"/>
          <w:lang w:val="es-EC"/>
        </w:rPr>
        <w:t xml:space="preserve"> el 100% de las co</w:t>
      </w:r>
      <w:r>
        <w:rPr>
          <w:rFonts w:eastAsia="MS Mincho"/>
          <w:sz w:val="24"/>
          <w:szCs w:val="24"/>
          <w:lang w:val="es-EC"/>
        </w:rPr>
        <w:t xml:space="preserve">nstrucciones de las zonas 1 y 2, ubicadas a las riberas del río Pita </w:t>
      </w:r>
      <w:r w:rsidR="00B54284" w:rsidRPr="00B54284">
        <w:rPr>
          <w:rFonts w:eastAsia="MS Mincho"/>
          <w:sz w:val="24"/>
          <w:szCs w:val="24"/>
          <w:lang w:val="es-EC"/>
        </w:rPr>
        <w:t>se encuentr</w:t>
      </w:r>
      <w:r w:rsidR="00124E41">
        <w:rPr>
          <w:rFonts w:eastAsia="MS Mincho"/>
          <w:sz w:val="24"/>
          <w:szCs w:val="24"/>
          <w:lang w:val="es-EC"/>
        </w:rPr>
        <w:t>an funcionalmente comprometidas</w:t>
      </w:r>
      <w:r w:rsidR="005C7450">
        <w:rPr>
          <w:rFonts w:eastAsia="MS Mincho"/>
          <w:sz w:val="24"/>
          <w:szCs w:val="24"/>
          <w:lang w:val="es-EC"/>
        </w:rPr>
        <w:t>; R</w:t>
      </w:r>
      <w:r w:rsidR="007E60DF" w:rsidRPr="00B54284">
        <w:rPr>
          <w:rFonts w:eastAsia="MS Mincho"/>
          <w:sz w:val="24"/>
          <w:szCs w:val="24"/>
          <w:lang w:val="es-EC"/>
        </w:rPr>
        <w:t>umiñahui es el cantón con mayor a</w:t>
      </w:r>
      <w:r w:rsidR="005C7450">
        <w:rPr>
          <w:rFonts w:eastAsia="MS Mincho"/>
          <w:sz w:val="24"/>
          <w:szCs w:val="24"/>
          <w:lang w:val="es-EC"/>
        </w:rPr>
        <w:t>fectación y pé</w:t>
      </w:r>
      <w:r>
        <w:rPr>
          <w:rFonts w:eastAsia="MS Mincho"/>
          <w:sz w:val="24"/>
          <w:szCs w:val="24"/>
          <w:lang w:val="es-EC"/>
        </w:rPr>
        <w:t>rdidas económicas</w:t>
      </w:r>
      <w:r w:rsidR="005C7450">
        <w:rPr>
          <w:rFonts w:eastAsia="MS Mincho"/>
          <w:sz w:val="24"/>
          <w:szCs w:val="24"/>
          <w:lang w:val="es-EC"/>
        </w:rPr>
        <w:t>. E</w:t>
      </w:r>
      <w:r w:rsidR="007E60DF" w:rsidRPr="00B54284">
        <w:rPr>
          <w:rFonts w:eastAsia="MS Mincho"/>
          <w:sz w:val="24"/>
          <w:szCs w:val="24"/>
          <w:lang w:val="es-EC"/>
        </w:rPr>
        <w:t xml:space="preserve">l servicio de agua potable es el más afectado, </w:t>
      </w:r>
      <w:r w:rsidR="00124E41">
        <w:rPr>
          <w:rFonts w:eastAsia="MS Mincho"/>
          <w:sz w:val="24"/>
          <w:szCs w:val="24"/>
          <w:lang w:val="es-EC"/>
        </w:rPr>
        <w:t>llegado a ocasionar</w:t>
      </w:r>
      <w:r w:rsidR="005C7450">
        <w:rPr>
          <w:rFonts w:eastAsia="MS Mincho"/>
          <w:sz w:val="24"/>
          <w:szCs w:val="24"/>
          <w:lang w:val="es-EC"/>
        </w:rPr>
        <w:t xml:space="preserve"> potenciales </w:t>
      </w:r>
      <w:r w:rsidR="007E60DF" w:rsidRPr="00B54284">
        <w:rPr>
          <w:rFonts w:eastAsia="MS Mincho"/>
          <w:sz w:val="24"/>
          <w:szCs w:val="24"/>
          <w:lang w:val="es-EC"/>
        </w:rPr>
        <w:t>racionamiento</w:t>
      </w:r>
      <w:r w:rsidR="00124E41">
        <w:rPr>
          <w:rFonts w:eastAsia="MS Mincho"/>
          <w:sz w:val="24"/>
          <w:szCs w:val="24"/>
          <w:lang w:val="es-EC"/>
        </w:rPr>
        <w:t>s</w:t>
      </w:r>
      <w:r w:rsidR="007E60DF" w:rsidRPr="00B54284">
        <w:rPr>
          <w:rFonts w:eastAsia="MS Mincho"/>
          <w:sz w:val="24"/>
          <w:szCs w:val="24"/>
          <w:lang w:val="es-EC"/>
        </w:rPr>
        <w:t xml:space="preserve"> de líquido vital para el 32,79% de la población urbana de Quito y de más del 50% de la población urbana de Rumiñahui, en ambos casos por varios meses</w:t>
      </w:r>
      <w:r w:rsidR="00124E41">
        <w:rPr>
          <w:rFonts w:eastAsia="MS Mincho"/>
          <w:sz w:val="24"/>
          <w:szCs w:val="24"/>
          <w:lang w:val="es-EC"/>
        </w:rPr>
        <w:t>.</w:t>
      </w:r>
    </w:p>
    <w:p w:rsidR="00AC70AF" w:rsidRDefault="00AC70AF" w:rsidP="00AC70AF">
      <w:pPr>
        <w:pStyle w:val="Textoindependiente"/>
        <w:ind w:firstLine="567"/>
        <w:contextualSpacing/>
        <w:jc w:val="both"/>
        <w:rPr>
          <w:rFonts w:eastAsia="MS Mincho"/>
          <w:sz w:val="24"/>
          <w:szCs w:val="24"/>
          <w:lang w:val="es-EC"/>
        </w:rPr>
      </w:pPr>
    </w:p>
    <w:p w:rsidR="00D93BF2" w:rsidRPr="00D0652A" w:rsidRDefault="005A78B2" w:rsidP="00DF5227">
      <w:pPr>
        <w:pStyle w:val="Els-1storder-head"/>
        <w:spacing w:before="0" w:after="0" w:line="240" w:lineRule="auto"/>
        <w:jc w:val="both"/>
        <w:rPr>
          <w:sz w:val="22"/>
          <w:szCs w:val="22"/>
          <w:lang w:val="es-EC"/>
        </w:rPr>
      </w:pPr>
      <w:r w:rsidRPr="00D0652A">
        <w:rPr>
          <w:sz w:val="22"/>
          <w:szCs w:val="22"/>
          <w:lang w:val="es-EC"/>
        </w:rPr>
        <w:lastRenderedPageBreak/>
        <w:t>R</w:t>
      </w:r>
      <w:r w:rsidR="00AC70AF" w:rsidRPr="00D0652A">
        <w:rPr>
          <w:sz w:val="22"/>
          <w:szCs w:val="22"/>
          <w:lang w:val="es-EC"/>
        </w:rPr>
        <w:t>EFERENCIA</w:t>
      </w:r>
      <w:r w:rsidRPr="00D0652A">
        <w:rPr>
          <w:sz w:val="22"/>
          <w:szCs w:val="22"/>
          <w:lang w:val="es-EC"/>
        </w:rPr>
        <w:t>S</w:t>
      </w:r>
    </w:p>
    <w:p w:rsidR="00DF5227" w:rsidRPr="00D0652A" w:rsidRDefault="00DF5227" w:rsidP="00DF5227">
      <w:pPr>
        <w:rPr>
          <w:sz w:val="22"/>
          <w:szCs w:val="22"/>
          <w:lang w:val="es-EC"/>
        </w:rPr>
      </w:pPr>
    </w:p>
    <w:sdt>
      <w:sdtPr>
        <w:rPr>
          <w:sz w:val="22"/>
          <w:szCs w:val="22"/>
        </w:rPr>
        <w:id w:val="111145805"/>
        <w:bibliography/>
      </w:sdtPr>
      <w:sdtEndPr>
        <w:rPr>
          <w:b/>
          <w:bCs/>
        </w:rPr>
      </w:sdtEndPr>
      <w:sdtContent>
        <w:p w:rsidR="007E60DF" w:rsidRPr="00D0652A" w:rsidRDefault="007E60DF" w:rsidP="00D0652A">
          <w:pPr>
            <w:pStyle w:val="Bibliografa"/>
            <w:spacing w:after="240"/>
            <w:jc w:val="both"/>
            <w:rPr>
              <w:noProof/>
              <w:sz w:val="22"/>
              <w:szCs w:val="22"/>
              <w:lang w:val="es-ES"/>
            </w:rPr>
          </w:pPr>
          <w:r w:rsidRPr="00D0652A">
            <w:rPr>
              <w:sz w:val="22"/>
              <w:szCs w:val="22"/>
            </w:rPr>
            <w:fldChar w:fldCharType="begin"/>
          </w:r>
          <w:r w:rsidRPr="00D0652A">
            <w:rPr>
              <w:sz w:val="22"/>
              <w:szCs w:val="22"/>
              <w:lang w:val="es-EC"/>
            </w:rPr>
            <w:instrText>BIBLIOGRAPHY</w:instrText>
          </w:r>
          <w:r w:rsidRPr="00D0652A">
            <w:rPr>
              <w:sz w:val="22"/>
              <w:szCs w:val="22"/>
            </w:rPr>
            <w:fldChar w:fldCharType="separate"/>
          </w:r>
          <w:r w:rsidRPr="00D0652A">
            <w:rPr>
              <w:noProof/>
              <w:sz w:val="22"/>
              <w:szCs w:val="22"/>
              <w:lang w:val="es-ES"/>
            </w:rPr>
            <w:t xml:space="preserve">Aguilera, E. </w:t>
          </w:r>
          <w:r w:rsidR="00D0652A" w:rsidRPr="00D0652A">
            <w:rPr>
              <w:noProof/>
              <w:sz w:val="22"/>
              <w:szCs w:val="22"/>
              <w:lang w:val="es-ES"/>
            </w:rPr>
            <w:t>y</w:t>
          </w:r>
          <w:r w:rsidR="00D0652A">
            <w:rPr>
              <w:noProof/>
              <w:sz w:val="22"/>
              <w:szCs w:val="22"/>
              <w:lang w:val="es-ES"/>
            </w:rPr>
            <w:t xml:space="preserve"> Toulkeridis, T.</w:t>
          </w:r>
          <w:r w:rsidRPr="00D0652A">
            <w:rPr>
              <w:noProof/>
              <w:sz w:val="22"/>
              <w:szCs w:val="22"/>
              <w:lang w:val="es-ES"/>
            </w:rPr>
            <w:t xml:space="preserve"> </w:t>
          </w:r>
          <w:r w:rsidR="00D0652A">
            <w:rPr>
              <w:noProof/>
              <w:sz w:val="22"/>
              <w:szCs w:val="22"/>
              <w:lang w:val="es-ES"/>
            </w:rPr>
            <w:t>(</w:t>
          </w:r>
          <w:r w:rsidRPr="00D0652A">
            <w:rPr>
              <w:noProof/>
              <w:sz w:val="22"/>
              <w:szCs w:val="22"/>
              <w:lang w:val="es-ES"/>
            </w:rPr>
            <w:t>2005</w:t>
          </w:r>
          <w:r w:rsidR="00D0652A">
            <w:rPr>
              <w:noProof/>
              <w:sz w:val="22"/>
              <w:szCs w:val="22"/>
              <w:lang w:val="es-ES"/>
            </w:rPr>
            <w:t>)</w:t>
          </w:r>
          <w:r w:rsidR="00CC252F">
            <w:rPr>
              <w:noProof/>
              <w:sz w:val="22"/>
              <w:szCs w:val="22"/>
              <w:lang w:val="es-ES"/>
            </w:rPr>
            <w:t xml:space="preserve"> </w:t>
          </w:r>
          <w:r w:rsidRPr="00D0652A">
            <w:rPr>
              <w:noProof/>
              <w:sz w:val="22"/>
              <w:szCs w:val="22"/>
              <w:lang w:val="es-ES"/>
            </w:rPr>
            <w:t xml:space="preserve"> </w:t>
          </w:r>
          <w:r w:rsidR="00CC252F" w:rsidRPr="00CC252F">
            <w:rPr>
              <w:i/>
              <w:noProof/>
              <w:sz w:val="22"/>
              <w:szCs w:val="22"/>
              <w:lang w:val="es-ES"/>
            </w:rPr>
            <w:t>P</w:t>
          </w:r>
          <w:r w:rsidR="00CC252F" w:rsidRPr="00CC252F">
            <w:rPr>
              <w:i/>
              <w:iCs/>
              <w:noProof/>
              <w:sz w:val="22"/>
              <w:szCs w:val="22"/>
              <w:lang w:val="es-ES"/>
            </w:rPr>
            <w:t>r</w:t>
          </w:r>
          <w:r w:rsidR="00CC252F" w:rsidRPr="00D0652A">
            <w:rPr>
              <w:i/>
              <w:iCs/>
              <w:noProof/>
              <w:sz w:val="22"/>
              <w:szCs w:val="22"/>
              <w:lang w:val="es-ES"/>
            </w:rPr>
            <w:t>evención de riesgos asociados con la erupción del volcán cotopaxi 2004 - 2005</w:t>
          </w:r>
          <w:r w:rsidRPr="00D0652A">
            <w:rPr>
              <w:i/>
              <w:iCs/>
              <w:noProof/>
              <w:sz w:val="22"/>
              <w:szCs w:val="22"/>
              <w:lang w:val="es-ES"/>
            </w:rPr>
            <w:t xml:space="preserve">. </w:t>
          </w:r>
          <w:r w:rsidRPr="00D0652A">
            <w:rPr>
              <w:noProof/>
              <w:sz w:val="22"/>
              <w:szCs w:val="22"/>
              <w:lang w:val="es-ES"/>
            </w:rPr>
            <w:t>Quito: Fundación para el Desarrollo Socioambiental FOES.</w:t>
          </w:r>
        </w:p>
        <w:p w:rsidR="007E60DF" w:rsidRPr="00D0652A" w:rsidRDefault="007E60DF" w:rsidP="00D0652A">
          <w:pPr>
            <w:pStyle w:val="Bibliografa"/>
            <w:spacing w:after="240"/>
            <w:jc w:val="both"/>
            <w:rPr>
              <w:noProof/>
              <w:sz w:val="22"/>
              <w:szCs w:val="22"/>
              <w:lang w:val="en-US"/>
            </w:rPr>
          </w:pPr>
          <w:r w:rsidRPr="00D0652A">
            <w:rPr>
              <w:noProof/>
              <w:sz w:val="22"/>
              <w:szCs w:val="22"/>
              <w:lang w:val="es-EC"/>
            </w:rPr>
            <w:t xml:space="preserve">Baas, S., Ramasamy, S., Dey de Pryck, J. </w:t>
          </w:r>
          <w:r w:rsidR="00D0652A" w:rsidRPr="00D0652A">
            <w:rPr>
              <w:noProof/>
              <w:sz w:val="22"/>
              <w:szCs w:val="22"/>
              <w:lang w:val="es-EC"/>
            </w:rPr>
            <w:t>y</w:t>
          </w:r>
          <w:r w:rsidRPr="00D0652A">
            <w:rPr>
              <w:noProof/>
              <w:sz w:val="22"/>
              <w:szCs w:val="22"/>
              <w:lang w:val="es-EC"/>
            </w:rPr>
            <w:t xml:space="preserve"> Battista, F. </w:t>
          </w:r>
          <w:r w:rsidR="00D0652A">
            <w:rPr>
              <w:noProof/>
              <w:sz w:val="22"/>
              <w:szCs w:val="22"/>
              <w:lang w:val="es-EC"/>
            </w:rPr>
            <w:t>(</w:t>
          </w:r>
          <w:r w:rsidRPr="00D0652A">
            <w:rPr>
              <w:noProof/>
              <w:sz w:val="22"/>
              <w:szCs w:val="22"/>
              <w:lang w:val="es-EC"/>
            </w:rPr>
            <w:t>2008</w:t>
          </w:r>
          <w:r w:rsidR="00D0652A">
            <w:rPr>
              <w:noProof/>
              <w:sz w:val="22"/>
              <w:szCs w:val="22"/>
              <w:lang w:val="es-EC"/>
            </w:rPr>
            <w:t>)</w:t>
          </w:r>
          <w:r w:rsidRPr="00D0652A">
            <w:rPr>
              <w:noProof/>
              <w:sz w:val="22"/>
              <w:szCs w:val="22"/>
              <w:lang w:val="es-EC"/>
            </w:rPr>
            <w:t xml:space="preserve"> </w:t>
          </w:r>
          <w:r w:rsidR="00CC252F" w:rsidRPr="00CC252F">
            <w:rPr>
              <w:i/>
              <w:noProof/>
              <w:sz w:val="22"/>
              <w:szCs w:val="22"/>
              <w:lang w:val="es-EC"/>
            </w:rPr>
            <w:t>D</w:t>
          </w:r>
          <w:r w:rsidR="00CC252F" w:rsidRPr="00770A98">
            <w:rPr>
              <w:i/>
              <w:iCs/>
              <w:noProof/>
              <w:sz w:val="22"/>
              <w:szCs w:val="22"/>
              <w:lang w:val="es-EC"/>
            </w:rPr>
            <w:t>isaster risk management systems analysis</w:t>
          </w:r>
          <w:r w:rsidRPr="00770A98">
            <w:rPr>
              <w:i/>
              <w:iCs/>
              <w:noProof/>
              <w:sz w:val="22"/>
              <w:szCs w:val="22"/>
              <w:lang w:val="es-EC"/>
            </w:rPr>
            <w:t xml:space="preserve">. </w:t>
          </w:r>
          <w:r w:rsidRPr="00D0652A">
            <w:rPr>
              <w:noProof/>
              <w:sz w:val="22"/>
              <w:szCs w:val="22"/>
              <w:lang w:val="en-US"/>
            </w:rPr>
            <w:t>13 ed. Roma: FAO Environment and Natural Resources Service Series.</w:t>
          </w:r>
        </w:p>
        <w:p w:rsidR="007E60DF" w:rsidRPr="00770A98" w:rsidRDefault="007E60DF" w:rsidP="00D0652A">
          <w:pPr>
            <w:pStyle w:val="Bibliografa"/>
            <w:spacing w:after="240"/>
            <w:jc w:val="both"/>
            <w:rPr>
              <w:noProof/>
              <w:sz w:val="22"/>
              <w:szCs w:val="22"/>
              <w:lang w:val="en-US"/>
            </w:rPr>
          </w:pPr>
          <w:r w:rsidRPr="00D0652A">
            <w:rPr>
              <w:noProof/>
              <w:sz w:val="22"/>
              <w:szCs w:val="22"/>
              <w:lang w:val="en-US"/>
            </w:rPr>
            <w:t xml:space="preserve">Correa, E., Ramírez, F. </w:t>
          </w:r>
          <w:r w:rsidR="00D0652A" w:rsidRPr="00D0652A">
            <w:rPr>
              <w:noProof/>
              <w:sz w:val="22"/>
              <w:szCs w:val="22"/>
              <w:lang w:val="en-US"/>
            </w:rPr>
            <w:t>y</w:t>
          </w:r>
          <w:r w:rsidRPr="00D0652A">
            <w:rPr>
              <w:noProof/>
              <w:sz w:val="22"/>
              <w:szCs w:val="22"/>
              <w:lang w:val="en-US"/>
            </w:rPr>
            <w:t xml:space="preserve"> Sanahuja, H. </w:t>
          </w:r>
          <w:r w:rsidR="00D0652A">
            <w:rPr>
              <w:noProof/>
              <w:sz w:val="22"/>
              <w:szCs w:val="22"/>
              <w:lang w:val="en-US"/>
            </w:rPr>
            <w:t>(</w:t>
          </w:r>
          <w:r w:rsidRPr="00D0652A">
            <w:rPr>
              <w:noProof/>
              <w:sz w:val="22"/>
              <w:szCs w:val="22"/>
              <w:lang w:val="en-US"/>
            </w:rPr>
            <w:t>2011</w:t>
          </w:r>
          <w:r w:rsidR="00D0652A">
            <w:rPr>
              <w:noProof/>
              <w:sz w:val="22"/>
              <w:szCs w:val="22"/>
              <w:lang w:val="en-US"/>
            </w:rPr>
            <w:t>)</w:t>
          </w:r>
          <w:r w:rsidRPr="00D0652A">
            <w:rPr>
              <w:noProof/>
              <w:sz w:val="22"/>
              <w:szCs w:val="22"/>
              <w:lang w:val="en-US"/>
            </w:rPr>
            <w:t xml:space="preserve"> </w:t>
          </w:r>
          <w:r w:rsidR="00CC252F">
            <w:rPr>
              <w:noProof/>
              <w:sz w:val="22"/>
              <w:szCs w:val="22"/>
              <w:lang w:val="en-US"/>
            </w:rPr>
            <w:t>P</w:t>
          </w:r>
          <w:r w:rsidR="00CC252F" w:rsidRPr="00D0652A">
            <w:rPr>
              <w:i/>
              <w:iCs/>
              <w:noProof/>
              <w:sz w:val="22"/>
              <w:szCs w:val="22"/>
              <w:lang w:val="en-US"/>
            </w:rPr>
            <w:t>opulations at risk of disaster: a resettlement guide</w:t>
          </w:r>
          <w:r w:rsidRPr="00D0652A">
            <w:rPr>
              <w:i/>
              <w:iCs/>
              <w:noProof/>
              <w:sz w:val="22"/>
              <w:szCs w:val="22"/>
              <w:lang w:val="en-US"/>
            </w:rPr>
            <w:t xml:space="preserve">. </w:t>
          </w:r>
          <w:r w:rsidRPr="00770A98">
            <w:rPr>
              <w:noProof/>
              <w:sz w:val="22"/>
              <w:szCs w:val="22"/>
              <w:lang w:val="en-US"/>
            </w:rPr>
            <w:t>Whashington: The World Bank.</w:t>
          </w:r>
        </w:p>
        <w:p w:rsidR="007E60DF" w:rsidRPr="00D0652A" w:rsidRDefault="00882551" w:rsidP="00D0652A">
          <w:pPr>
            <w:pStyle w:val="Bibliografa"/>
            <w:spacing w:after="240"/>
            <w:jc w:val="both"/>
            <w:rPr>
              <w:noProof/>
              <w:sz w:val="22"/>
              <w:szCs w:val="22"/>
              <w:lang w:val="en-US"/>
            </w:rPr>
          </w:pPr>
          <w:r w:rsidRPr="00770A98">
            <w:rPr>
              <w:noProof/>
              <w:sz w:val="22"/>
              <w:szCs w:val="22"/>
              <w:lang w:val="en-US"/>
            </w:rPr>
            <w:t>Intergovernmental Panel on Climate Change-</w:t>
          </w:r>
          <w:r w:rsidR="007E60DF" w:rsidRPr="00770A98">
            <w:rPr>
              <w:noProof/>
              <w:sz w:val="22"/>
              <w:szCs w:val="22"/>
              <w:lang w:val="en-US"/>
            </w:rPr>
            <w:t>IPCC</w:t>
          </w:r>
          <w:r w:rsidR="00D0652A" w:rsidRPr="00770A98">
            <w:rPr>
              <w:noProof/>
              <w:sz w:val="22"/>
              <w:szCs w:val="22"/>
              <w:lang w:val="en-US"/>
            </w:rPr>
            <w:t>.</w:t>
          </w:r>
          <w:r w:rsidR="007E60DF" w:rsidRPr="00770A98">
            <w:rPr>
              <w:noProof/>
              <w:sz w:val="22"/>
              <w:szCs w:val="22"/>
              <w:lang w:val="en-US"/>
            </w:rPr>
            <w:t xml:space="preserve"> </w:t>
          </w:r>
          <w:r w:rsidR="00D0652A">
            <w:rPr>
              <w:noProof/>
              <w:sz w:val="22"/>
              <w:szCs w:val="22"/>
              <w:lang w:val="es-EC"/>
            </w:rPr>
            <w:t>(</w:t>
          </w:r>
          <w:r w:rsidR="007E60DF" w:rsidRPr="00D0652A">
            <w:rPr>
              <w:noProof/>
              <w:sz w:val="22"/>
              <w:szCs w:val="22"/>
              <w:lang w:val="es-EC"/>
            </w:rPr>
            <w:t>2014</w:t>
          </w:r>
          <w:r w:rsidR="00D0652A">
            <w:rPr>
              <w:noProof/>
              <w:sz w:val="22"/>
              <w:szCs w:val="22"/>
              <w:lang w:val="es-EC"/>
            </w:rPr>
            <w:t>)</w:t>
          </w:r>
          <w:r w:rsidR="007E60DF" w:rsidRPr="00D0652A">
            <w:rPr>
              <w:noProof/>
              <w:sz w:val="22"/>
              <w:szCs w:val="22"/>
              <w:lang w:val="es-EC"/>
            </w:rPr>
            <w:t xml:space="preserve"> </w:t>
          </w:r>
          <w:r w:rsidR="00CC252F" w:rsidRPr="00CC252F">
            <w:rPr>
              <w:i/>
              <w:noProof/>
              <w:sz w:val="22"/>
              <w:szCs w:val="22"/>
              <w:lang w:val="es-EC"/>
            </w:rPr>
            <w:t>I</w:t>
          </w:r>
          <w:r w:rsidR="00CC252F" w:rsidRPr="00D0652A">
            <w:rPr>
              <w:i/>
              <w:iCs/>
              <w:noProof/>
              <w:sz w:val="22"/>
              <w:szCs w:val="22"/>
              <w:lang w:val="es-EC"/>
            </w:rPr>
            <w:t>nforme de evaluación del grupo intergubernamental de expertos sobre el cambio climático</w:t>
          </w:r>
          <w:r w:rsidR="007E60DF" w:rsidRPr="00D0652A">
            <w:rPr>
              <w:i/>
              <w:iCs/>
              <w:noProof/>
              <w:sz w:val="22"/>
              <w:szCs w:val="22"/>
              <w:lang w:val="es-EC"/>
            </w:rPr>
            <w:t xml:space="preserve">. </w:t>
          </w:r>
          <w:r w:rsidR="007E60DF" w:rsidRPr="00D0652A">
            <w:rPr>
              <w:noProof/>
              <w:sz w:val="22"/>
              <w:szCs w:val="22"/>
              <w:lang w:val="en-US"/>
            </w:rPr>
            <w:t>Ginebra: IPCC.</w:t>
          </w:r>
        </w:p>
        <w:p w:rsidR="00174EEC" w:rsidRPr="00D0652A" w:rsidRDefault="00174EEC" w:rsidP="00D0652A">
          <w:pPr>
            <w:pStyle w:val="Bibliografa"/>
            <w:spacing w:after="240"/>
            <w:jc w:val="both"/>
            <w:rPr>
              <w:noProof/>
              <w:sz w:val="22"/>
              <w:szCs w:val="22"/>
              <w:lang w:val="en-US"/>
            </w:rPr>
          </w:pPr>
          <w:r w:rsidRPr="00D0652A">
            <w:rPr>
              <w:noProof/>
              <w:sz w:val="22"/>
              <w:szCs w:val="22"/>
            </w:rPr>
            <w:t xml:space="preserve">Mitchell, D. </w:t>
          </w:r>
          <w:r w:rsidR="00D0652A">
            <w:rPr>
              <w:noProof/>
              <w:sz w:val="22"/>
              <w:szCs w:val="22"/>
            </w:rPr>
            <w:t>(</w:t>
          </w:r>
          <w:r w:rsidRPr="00D0652A">
            <w:rPr>
              <w:noProof/>
              <w:sz w:val="22"/>
              <w:szCs w:val="22"/>
            </w:rPr>
            <w:t>2011</w:t>
          </w:r>
          <w:r w:rsidR="00D0652A">
            <w:rPr>
              <w:noProof/>
              <w:sz w:val="22"/>
              <w:szCs w:val="22"/>
            </w:rPr>
            <w:t>)</w:t>
          </w:r>
          <w:r w:rsidR="00F01F3B">
            <w:rPr>
              <w:noProof/>
              <w:sz w:val="22"/>
              <w:szCs w:val="22"/>
            </w:rPr>
            <w:t xml:space="preserve"> </w:t>
          </w:r>
          <w:r w:rsidRPr="00D0652A">
            <w:rPr>
              <w:noProof/>
              <w:sz w:val="22"/>
              <w:szCs w:val="22"/>
            </w:rPr>
            <w:t xml:space="preserve"> </w:t>
          </w:r>
          <w:r w:rsidR="00F01F3B">
            <w:rPr>
              <w:i/>
              <w:iCs/>
              <w:noProof/>
              <w:sz w:val="22"/>
              <w:szCs w:val="22"/>
            </w:rPr>
            <w:t>A</w:t>
          </w:r>
          <w:r w:rsidR="00CC252F" w:rsidRPr="00D0652A">
            <w:rPr>
              <w:i/>
              <w:iCs/>
              <w:noProof/>
              <w:sz w:val="22"/>
              <w:szCs w:val="22"/>
            </w:rPr>
            <w:t>ssessing and responding to land tenure issues in disaster risk management: training manual</w:t>
          </w:r>
          <w:r w:rsidR="00CC252F">
            <w:rPr>
              <w:i/>
              <w:iCs/>
              <w:noProof/>
              <w:sz w:val="22"/>
              <w:szCs w:val="22"/>
            </w:rPr>
            <w:t>"</w:t>
          </w:r>
          <w:r w:rsidRPr="00D0652A">
            <w:rPr>
              <w:i/>
              <w:iCs/>
              <w:noProof/>
              <w:sz w:val="22"/>
              <w:szCs w:val="22"/>
            </w:rPr>
            <w:t xml:space="preserve">. </w:t>
          </w:r>
          <w:r w:rsidRPr="00D0652A">
            <w:rPr>
              <w:noProof/>
              <w:sz w:val="22"/>
              <w:szCs w:val="22"/>
            </w:rPr>
            <w:t>Roma: FAO.</w:t>
          </w:r>
        </w:p>
        <w:p w:rsidR="007E60DF" w:rsidRPr="00D0652A" w:rsidRDefault="007E60DF" w:rsidP="00D0652A">
          <w:pPr>
            <w:pStyle w:val="Bibliografa"/>
            <w:spacing w:after="240"/>
            <w:jc w:val="both"/>
            <w:rPr>
              <w:noProof/>
              <w:sz w:val="22"/>
              <w:szCs w:val="22"/>
              <w:lang w:val="es-EC"/>
            </w:rPr>
          </w:pPr>
          <w:r w:rsidRPr="00D0652A">
            <w:rPr>
              <w:noProof/>
              <w:sz w:val="22"/>
              <w:szCs w:val="22"/>
            </w:rPr>
            <w:t xml:space="preserve">Mitchell, D., Myers, M. </w:t>
          </w:r>
          <w:r w:rsidR="00D0652A" w:rsidRPr="00D0652A">
            <w:rPr>
              <w:noProof/>
              <w:sz w:val="22"/>
              <w:szCs w:val="22"/>
            </w:rPr>
            <w:t>y</w:t>
          </w:r>
          <w:r w:rsidRPr="00D0652A">
            <w:rPr>
              <w:noProof/>
              <w:sz w:val="22"/>
              <w:szCs w:val="22"/>
            </w:rPr>
            <w:t xml:space="preserve"> Grant, D. </w:t>
          </w:r>
          <w:r w:rsidR="00D0652A">
            <w:rPr>
              <w:noProof/>
              <w:sz w:val="22"/>
              <w:szCs w:val="22"/>
            </w:rPr>
            <w:t>(</w:t>
          </w:r>
          <w:r w:rsidRPr="00D0652A">
            <w:rPr>
              <w:noProof/>
              <w:sz w:val="22"/>
              <w:szCs w:val="22"/>
            </w:rPr>
            <w:t>2014</w:t>
          </w:r>
          <w:r w:rsidR="00D0652A">
            <w:rPr>
              <w:noProof/>
              <w:sz w:val="22"/>
              <w:szCs w:val="22"/>
            </w:rPr>
            <w:t>)</w:t>
          </w:r>
          <w:r w:rsidR="00CC252F">
            <w:rPr>
              <w:noProof/>
              <w:sz w:val="22"/>
              <w:szCs w:val="22"/>
            </w:rPr>
            <w:t xml:space="preserve"> "</w:t>
          </w:r>
          <w:r w:rsidRPr="00D0652A">
            <w:rPr>
              <w:noProof/>
              <w:sz w:val="22"/>
              <w:szCs w:val="22"/>
            </w:rPr>
            <w:t xml:space="preserve"> </w:t>
          </w:r>
          <w:r w:rsidR="00CC252F">
            <w:rPr>
              <w:noProof/>
              <w:sz w:val="22"/>
              <w:szCs w:val="22"/>
            </w:rPr>
            <w:t>L</w:t>
          </w:r>
          <w:r w:rsidR="00CC252F" w:rsidRPr="00D0652A">
            <w:rPr>
              <w:noProof/>
              <w:sz w:val="22"/>
              <w:szCs w:val="22"/>
            </w:rPr>
            <w:t>and valuation: a key tool for disaster risk management</w:t>
          </w:r>
          <w:r w:rsidR="00CC252F">
            <w:rPr>
              <w:noProof/>
              <w:sz w:val="22"/>
              <w:szCs w:val="22"/>
            </w:rPr>
            <w:t>"</w:t>
          </w:r>
          <w:r w:rsidR="00174EEC" w:rsidRPr="00D0652A">
            <w:rPr>
              <w:noProof/>
              <w:sz w:val="22"/>
              <w:szCs w:val="22"/>
            </w:rPr>
            <w:t xml:space="preserve">. </w:t>
          </w:r>
          <w:r w:rsidR="00174EEC" w:rsidRPr="00D0652A">
            <w:rPr>
              <w:i/>
              <w:iCs/>
              <w:noProof/>
              <w:sz w:val="22"/>
              <w:szCs w:val="22"/>
              <w:lang w:val="es-EC"/>
            </w:rPr>
            <w:t>LAND TENURE JOURNAL</w:t>
          </w:r>
          <w:r w:rsidRPr="00D0652A">
            <w:rPr>
              <w:i/>
              <w:iCs/>
              <w:noProof/>
              <w:sz w:val="22"/>
              <w:szCs w:val="22"/>
              <w:lang w:val="es-EC"/>
            </w:rPr>
            <w:t xml:space="preserve">, </w:t>
          </w:r>
          <w:r w:rsidRPr="00D0652A">
            <w:rPr>
              <w:noProof/>
              <w:sz w:val="22"/>
              <w:szCs w:val="22"/>
              <w:lang w:val="es-EC"/>
            </w:rPr>
            <w:t>Volumen I, pp. 36-69.</w:t>
          </w:r>
        </w:p>
        <w:p w:rsidR="007E60DF" w:rsidRPr="00D0652A" w:rsidRDefault="007E60DF" w:rsidP="00D0652A">
          <w:pPr>
            <w:pStyle w:val="Bibliografa"/>
            <w:spacing w:after="240"/>
            <w:jc w:val="both"/>
            <w:rPr>
              <w:noProof/>
              <w:sz w:val="22"/>
              <w:szCs w:val="22"/>
              <w:lang w:val="es-ES"/>
            </w:rPr>
          </w:pPr>
          <w:r w:rsidRPr="00D0652A">
            <w:rPr>
              <w:noProof/>
              <w:sz w:val="22"/>
              <w:szCs w:val="22"/>
              <w:lang w:val="es-ES"/>
            </w:rPr>
            <w:t xml:space="preserve">Narváez, C. </w:t>
          </w:r>
          <w:r w:rsidR="00D0652A">
            <w:rPr>
              <w:noProof/>
              <w:sz w:val="22"/>
              <w:szCs w:val="22"/>
              <w:lang w:val="es-ES"/>
            </w:rPr>
            <w:t>(</w:t>
          </w:r>
          <w:r w:rsidRPr="00D0652A">
            <w:rPr>
              <w:noProof/>
              <w:sz w:val="22"/>
              <w:szCs w:val="22"/>
              <w:lang w:val="es-ES"/>
            </w:rPr>
            <w:t>2007</w:t>
          </w:r>
          <w:r w:rsidR="00D0652A">
            <w:rPr>
              <w:noProof/>
              <w:sz w:val="22"/>
              <w:szCs w:val="22"/>
              <w:lang w:val="es-ES"/>
            </w:rPr>
            <w:t>)</w:t>
          </w:r>
          <w:r w:rsidRPr="00D0652A">
            <w:rPr>
              <w:noProof/>
              <w:sz w:val="22"/>
              <w:szCs w:val="22"/>
              <w:lang w:val="es-ES"/>
            </w:rPr>
            <w:t xml:space="preserve"> </w:t>
          </w:r>
          <w:r w:rsidR="00F01F3B">
            <w:rPr>
              <w:i/>
              <w:iCs/>
              <w:noProof/>
              <w:sz w:val="22"/>
              <w:szCs w:val="22"/>
              <w:lang w:val="es-ES"/>
            </w:rPr>
            <w:t>D</w:t>
          </w:r>
          <w:r w:rsidR="00F01F3B" w:rsidRPr="00D0652A">
            <w:rPr>
              <w:i/>
              <w:iCs/>
              <w:noProof/>
              <w:sz w:val="22"/>
              <w:szCs w:val="22"/>
              <w:lang w:val="es-ES"/>
            </w:rPr>
            <w:t xml:space="preserve">esarrollo de la metodología para el análisis de vulnerabilidad ante una eventual erupción del volcán </w:t>
          </w:r>
          <w:r w:rsidR="00F01F3B">
            <w:rPr>
              <w:i/>
              <w:iCs/>
              <w:noProof/>
              <w:sz w:val="22"/>
              <w:szCs w:val="22"/>
              <w:lang w:val="es-ES"/>
            </w:rPr>
            <w:t>C</w:t>
          </w:r>
          <w:r w:rsidR="00F01F3B" w:rsidRPr="00D0652A">
            <w:rPr>
              <w:i/>
              <w:iCs/>
              <w:noProof/>
              <w:sz w:val="22"/>
              <w:szCs w:val="22"/>
              <w:lang w:val="es-ES"/>
            </w:rPr>
            <w:t>otopaxi</w:t>
          </w:r>
          <w:r w:rsidR="00174EEC" w:rsidRPr="00D0652A">
            <w:rPr>
              <w:i/>
              <w:iCs/>
              <w:noProof/>
              <w:sz w:val="22"/>
              <w:szCs w:val="22"/>
              <w:lang w:val="es-ES"/>
            </w:rPr>
            <w:t>.</w:t>
          </w:r>
          <w:r w:rsidRPr="00D0652A">
            <w:rPr>
              <w:i/>
              <w:iCs/>
              <w:noProof/>
              <w:sz w:val="22"/>
              <w:szCs w:val="22"/>
              <w:lang w:val="es-ES"/>
            </w:rPr>
            <w:t xml:space="preserve"> </w:t>
          </w:r>
          <w:r w:rsidRPr="00D0652A">
            <w:rPr>
              <w:noProof/>
              <w:sz w:val="22"/>
              <w:szCs w:val="22"/>
              <w:lang w:val="es-ES"/>
            </w:rPr>
            <w:t>Quito: Escuela Politécnica Nacional, Escuela de Postgrado en Ingeniería y Ciencias.</w:t>
          </w:r>
        </w:p>
        <w:p w:rsidR="00174EEC" w:rsidRPr="00D0652A" w:rsidRDefault="00174EEC" w:rsidP="00D0652A">
          <w:pPr>
            <w:pStyle w:val="Bibliografa"/>
            <w:spacing w:after="240"/>
            <w:jc w:val="both"/>
            <w:rPr>
              <w:noProof/>
              <w:sz w:val="22"/>
              <w:szCs w:val="22"/>
              <w:lang w:val="es-EC"/>
            </w:rPr>
          </w:pPr>
          <w:r w:rsidRPr="00D0652A">
            <w:rPr>
              <w:noProof/>
              <w:sz w:val="22"/>
              <w:szCs w:val="22"/>
              <w:lang w:val="es-EC"/>
            </w:rPr>
            <w:t>O</w:t>
          </w:r>
          <w:r w:rsidR="00882551">
            <w:rPr>
              <w:noProof/>
              <w:sz w:val="22"/>
              <w:szCs w:val="22"/>
              <w:lang w:val="es-EC"/>
            </w:rPr>
            <w:t>rganización de Esatdos Americanos - OEA</w:t>
          </w:r>
          <w:r w:rsidR="00D0652A">
            <w:rPr>
              <w:noProof/>
              <w:sz w:val="22"/>
              <w:szCs w:val="22"/>
              <w:lang w:val="es-EC"/>
            </w:rPr>
            <w:t>.</w:t>
          </w:r>
          <w:r w:rsidRPr="00D0652A">
            <w:rPr>
              <w:noProof/>
              <w:sz w:val="22"/>
              <w:szCs w:val="22"/>
              <w:lang w:val="es-EC"/>
            </w:rPr>
            <w:t xml:space="preserve"> </w:t>
          </w:r>
          <w:r w:rsidR="00D0652A">
            <w:rPr>
              <w:noProof/>
              <w:sz w:val="22"/>
              <w:szCs w:val="22"/>
              <w:lang w:val="es-EC"/>
            </w:rPr>
            <w:t>(</w:t>
          </w:r>
          <w:r w:rsidRPr="00D0652A">
            <w:rPr>
              <w:noProof/>
              <w:sz w:val="22"/>
              <w:szCs w:val="22"/>
              <w:lang w:val="es-EC"/>
            </w:rPr>
            <w:t>1991</w:t>
          </w:r>
          <w:r w:rsidR="00D0652A">
            <w:rPr>
              <w:noProof/>
              <w:sz w:val="22"/>
              <w:szCs w:val="22"/>
              <w:lang w:val="es-EC"/>
            </w:rPr>
            <w:t>)</w:t>
          </w:r>
          <w:r w:rsidRPr="00D0652A">
            <w:rPr>
              <w:noProof/>
              <w:sz w:val="22"/>
              <w:szCs w:val="22"/>
              <w:lang w:val="es-EC"/>
            </w:rPr>
            <w:t xml:space="preserve"> </w:t>
          </w:r>
          <w:r w:rsidRPr="00D0652A">
            <w:rPr>
              <w:i/>
              <w:iCs/>
              <w:noProof/>
              <w:sz w:val="22"/>
              <w:szCs w:val="22"/>
              <w:lang w:val="es-EC"/>
            </w:rPr>
            <w:t>D</w:t>
          </w:r>
          <w:r w:rsidR="00F01F3B" w:rsidRPr="00D0652A">
            <w:rPr>
              <w:i/>
              <w:iCs/>
              <w:noProof/>
              <w:sz w:val="22"/>
              <w:szCs w:val="22"/>
              <w:lang w:val="es-EC"/>
            </w:rPr>
            <w:t>esastres, planificación y desarrollo: manejo de amenazas naturales para reducir los daños</w:t>
          </w:r>
          <w:r w:rsidRPr="00D0652A">
            <w:rPr>
              <w:i/>
              <w:iCs/>
              <w:noProof/>
              <w:sz w:val="22"/>
              <w:szCs w:val="22"/>
              <w:lang w:val="es-EC"/>
            </w:rPr>
            <w:t xml:space="preserve">. </w:t>
          </w:r>
          <w:r w:rsidRPr="00D0652A">
            <w:rPr>
              <w:noProof/>
              <w:sz w:val="22"/>
              <w:szCs w:val="22"/>
              <w:lang w:val="es-EC"/>
            </w:rPr>
            <w:t>Washington: Organización de los Estados Americanos.</w:t>
          </w:r>
        </w:p>
        <w:p w:rsidR="007E60DF" w:rsidRPr="00D0652A" w:rsidRDefault="007E60DF" w:rsidP="00D0652A">
          <w:pPr>
            <w:pStyle w:val="Bibliografa"/>
            <w:spacing w:after="240"/>
            <w:jc w:val="both"/>
            <w:rPr>
              <w:noProof/>
              <w:sz w:val="22"/>
              <w:szCs w:val="22"/>
              <w:lang w:val="es-ES"/>
            </w:rPr>
          </w:pPr>
          <w:r w:rsidRPr="00D0652A">
            <w:rPr>
              <w:noProof/>
              <w:sz w:val="22"/>
              <w:szCs w:val="22"/>
              <w:lang w:val="es-ES"/>
            </w:rPr>
            <w:t xml:space="preserve">Padilla, O. </w:t>
          </w:r>
          <w:r w:rsidR="00D0652A">
            <w:rPr>
              <w:noProof/>
              <w:sz w:val="22"/>
              <w:szCs w:val="22"/>
              <w:lang w:val="es-ES"/>
            </w:rPr>
            <w:t>(</w:t>
          </w:r>
          <w:r w:rsidRPr="00D0652A">
            <w:rPr>
              <w:noProof/>
              <w:sz w:val="22"/>
              <w:szCs w:val="22"/>
              <w:lang w:val="es-ES"/>
            </w:rPr>
            <w:t>2017</w:t>
          </w:r>
          <w:r w:rsidR="00D0652A">
            <w:rPr>
              <w:noProof/>
              <w:sz w:val="22"/>
              <w:szCs w:val="22"/>
              <w:lang w:val="es-ES"/>
            </w:rPr>
            <w:t>)</w:t>
          </w:r>
          <w:r w:rsidRPr="00D0652A">
            <w:rPr>
              <w:noProof/>
              <w:sz w:val="22"/>
              <w:szCs w:val="22"/>
              <w:lang w:val="es-ES"/>
            </w:rPr>
            <w:t xml:space="preserve"> </w:t>
          </w:r>
          <w:r w:rsidR="00F01F3B">
            <w:rPr>
              <w:i/>
              <w:iCs/>
              <w:noProof/>
              <w:sz w:val="22"/>
              <w:szCs w:val="22"/>
              <w:lang w:val="es-ES"/>
            </w:rPr>
            <w:t>C</w:t>
          </w:r>
          <w:r w:rsidR="00F01F3B" w:rsidRPr="00D0652A">
            <w:rPr>
              <w:i/>
              <w:iCs/>
              <w:noProof/>
              <w:sz w:val="22"/>
              <w:szCs w:val="22"/>
              <w:lang w:val="es-ES"/>
            </w:rPr>
            <w:t>álculo de los tiempos de evacuación horizontal y vertical en caso de u</w:t>
          </w:r>
          <w:r w:rsidR="00F01F3B">
            <w:rPr>
              <w:i/>
              <w:iCs/>
              <w:noProof/>
              <w:sz w:val="22"/>
              <w:szCs w:val="22"/>
              <w:lang w:val="es-ES"/>
            </w:rPr>
            <w:t>na eventual erupción del volcán C</w:t>
          </w:r>
          <w:r w:rsidR="00F01F3B" w:rsidRPr="00D0652A">
            <w:rPr>
              <w:i/>
              <w:iCs/>
              <w:noProof/>
              <w:sz w:val="22"/>
              <w:szCs w:val="22"/>
              <w:lang w:val="es-ES"/>
            </w:rPr>
            <w:t>otopaxi</w:t>
          </w:r>
          <w:r w:rsidR="00174EEC" w:rsidRPr="00D0652A">
            <w:rPr>
              <w:i/>
              <w:iCs/>
              <w:noProof/>
              <w:sz w:val="22"/>
              <w:szCs w:val="22"/>
              <w:lang w:val="es-ES"/>
            </w:rPr>
            <w:t>.</w:t>
          </w:r>
          <w:r w:rsidRPr="00D0652A">
            <w:rPr>
              <w:i/>
              <w:iCs/>
              <w:noProof/>
              <w:sz w:val="22"/>
              <w:szCs w:val="22"/>
              <w:lang w:val="es-ES"/>
            </w:rPr>
            <w:t xml:space="preserve"> </w:t>
          </w:r>
          <w:r w:rsidRPr="00D0652A">
            <w:rPr>
              <w:noProof/>
              <w:sz w:val="22"/>
              <w:szCs w:val="22"/>
              <w:lang w:val="es-ES"/>
            </w:rPr>
            <w:t>Alcalá de Henares(Madrid): Universidad de Alcalá; Departamento de Geología, Geografía y Medio Ambiente.</w:t>
          </w:r>
        </w:p>
        <w:p w:rsidR="007E60DF" w:rsidRPr="00D0652A" w:rsidRDefault="007E60DF" w:rsidP="00D0652A">
          <w:pPr>
            <w:pStyle w:val="Bibliografa"/>
            <w:spacing w:after="240"/>
            <w:jc w:val="both"/>
            <w:rPr>
              <w:noProof/>
              <w:sz w:val="22"/>
              <w:szCs w:val="22"/>
              <w:lang w:val="es-ES"/>
            </w:rPr>
          </w:pPr>
          <w:r w:rsidRPr="00D0652A">
            <w:rPr>
              <w:noProof/>
              <w:sz w:val="22"/>
              <w:szCs w:val="22"/>
              <w:lang w:val="es-ES"/>
            </w:rPr>
            <w:t xml:space="preserve">Peña, M. </w:t>
          </w:r>
          <w:r w:rsidR="00D0652A">
            <w:rPr>
              <w:noProof/>
              <w:sz w:val="22"/>
              <w:szCs w:val="22"/>
              <w:lang w:val="es-ES"/>
            </w:rPr>
            <w:t>(</w:t>
          </w:r>
          <w:r w:rsidRPr="00D0652A">
            <w:rPr>
              <w:noProof/>
              <w:sz w:val="22"/>
              <w:szCs w:val="22"/>
              <w:lang w:val="es-ES"/>
            </w:rPr>
            <w:t>2016</w:t>
          </w:r>
          <w:r w:rsidR="00D0652A">
            <w:rPr>
              <w:noProof/>
              <w:sz w:val="22"/>
              <w:szCs w:val="22"/>
              <w:lang w:val="es-ES"/>
            </w:rPr>
            <w:t>)</w:t>
          </w:r>
          <w:r w:rsidR="00F01F3B">
            <w:rPr>
              <w:noProof/>
              <w:sz w:val="22"/>
              <w:szCs w:val="22"/>
              <w:lang w:val="es-ES"/>
            </w:rPr>
            <w:t xml:space="preserve"> </w:t>
          </w:r>
          <w:r w:rsidRPr="00D0652A">
            <w:rPr>
              <w:noProof/>
              <w:sz w:val="22"/>
              <w:szCs w:val="22"/>
              <w:lang w:val="es-ES"/>
            </w:rPr>
            <w:t xml:space="preserve"> </w:t>
          </w:r>
          <w:r w:rsidR="00F01F3B" w:rsidRPr="00D0652A">
            <w:rPr>
              <w:i/>
              <w:iCs/>
              <w:noProof/>
              <w:sz w:val="22"/>
              <w:szCs w:val="22"/>
              <w:lang w:val="es-ES"/>
            </w:rPr>
            <w:t xml:space="preserve">Análisis de vulnerabilidad y mitigación de riesgos estructurales en las infraestructuras de abastecimiento de agua, en el </w:t>
          </w:r>
          <w:r w:rsidR="00F01F3B">
            <w:rPr>
              <w:i/>
              <w:iCs/>
              <w:noProof/>
              <w:sz w:val="22"/>
              <w:szCs w:val="22"/>
              <w:lang w:val="es-ES"/>
            </w:rPr>
            <w:t>D</w:t>
          </w:r>
          <w:r w:rsidR="00F01F3B" w:rsidRPr="00D0652A">
            <w:rPr>
              <w:i/>
              <w:iCs/>
              <w:noProof/>
              <w:sz w:val="22"/>
              <w:szCs w:val="22"/>
              <w:lang w:val="es-ES"/>
            </w:rPr>
            <w:t xml:space="preserve">istrito </w:t>
          </w:r>
          <w:r w:rsidR="00F01F3B">
            <w:rPr>
              <w:i/>
              <w:iCs/>
              <w:noProof/>
              <w:sz w:val="22"/>
              <w:szCs w:val="22"/>
              <w:lang w:val="es-ES"/>
            </w:rPr>
            <w:t>M</w:t>
          </w:r>
          <w:r w:rsidR="00F01F3B" w:rsidRPr="00D0652A">
            <w:rPr>
              <w:i/>
              <w:iCs/>
              <w:noProof/>
              <w:sz w:val="22"/>
              <w:szCs w:val="22"/>
              <w:lang w:val="es-ES"/>
            </w:rPr>
            <w:t xml:space="preserve">etropolitano de </w:t>
          </w:r>
          <w:r w:rsidR="00F01F3B">
            <w:rPr>
              <w:i/>
              <w:iCs/>
              <w:noProof/>
              <w:sz w:val="22"/>
              <w:szCs w:val="22"/>
              <w:lang w:val="es-ES"/>
            </w:rPr>
            <w:t>Q</w:t>
          </w:r>
          <w:r w:rsidR="00F01F3B" w:rsidRPr="00D0652A">
            <w:rPr>
              <w:i/>
              <w:iCs/>
              <w:noProof/>
              <w:sz w:val="22"/>
              <w:szCs w:val="22"/>
              <w:lang w:val="es-ES"/>
            </w:rPr>
            <w:t>uito (</w:t>
          </w:r>
          <w:r w:rsidR="00F01F3B">
            <w:rPr>
              <w:i/>
              <w:iCs/>
              <w:noProof/>
              <w:sz w:val="22"/>
              <w:szCs w:val="22"/>
              <w:lang w:val="es-ES"/>
            </w:rPr>
            <w:t>DMQ</w:t>
          </w:r>
          <w:r w:rsidR="00F01F3B" w:rsidRPr="00D0652A">
            <w:rPr>
              <w:i/>
              <w:iCs/>
              <w:noProof/>
              <w:sz w:val="22"/>
              <w:szCs w:val="22"/>
              <w:lang w:val="es-ES"/>
            </w:rPr>
            <w:t xml:space="preserve">), en caso de erupción del volcán </w:t>
          </w:r>
          <w:r w:rsidR="00F01F3B">
            <w:rPr>
              <w:i/>
              <w:iCs/>
              <w:noProof/>
              <w:sz w:val="22"/>
              <w:szCs w:val="22"/>
              <w:lang w:val="es-ES"/>
            </w:rPr>
            <w:t>C</w:t>
          </w:r>
          <w:r w:rsidR="00F01F3B" w:rsidRPr="00D0652A">
            <w:rPr>
              <w:i/>
              <w:iCs/>
              <w:noProof/>
              <w:sz w:val="22"/>
              <w:szCs w:val="22"/>
              <w:lang w:val="es-ES"/>
            </w:rPr>
            <w:t>otopaxi (</w:t>
          </w:r>
          <w:r w:rsidR="00F01F3B">
            <w:rPr>
              <w:i/>
              <w:iCs/>
              <w:noProof/>
              <w:sz w:val="22"/>
              <w:szCs w:val="22"/>
              <w:lang w:val="es-ES"/>
            </w:rPr>
            <w:t>E</w:t>
          </w:r>
          <w:r w:rsidR="00F01F3B" w:rsidRPr="00D0652A">
            <w:rPr>
              <w:i/>
              <w:iCs/>
              <w:noProof/>
              <w:sz w:val="22"/>
              <w:szCs w:val="22"/>
              <w:lang w:val="es-ES"/>
            </w:rPr>
            <w:t>cuador)</w:t>
          </w:r>
          <w:r w:rsidRPr="00D0652A">
            <w:rPr>
              <w:i/>
              <w:iCs/>
              <w:noProof/>
              <w:sz w:val="22"/>
              <w:szCs w:val="22"/>
              <w:lang w:val="es-ES"/>
            </w:rPr>
            <w:t xml:space="preserve">. </w:t>
          </w:r>
          <w:r w:rsidRPr="00D0652A">
            <w:rPr>
              <w:noProof/>
              <w:sz w:val="22"/>
              <w:szCs w:val="22"/>
              <w:lang w:val="es-ES"/>
            </w:rPr>
            <w:t>Madrid: Universidad Politécnica de Madrid, Escuela Técnica Superior de Ingeniería Civil.</w:t>
          </w:r>
        </w:p>
        <w:p w:rsidR="007E60DF" w:rsidRPr="00D0652A" w:rsidRDefault="007E60DF" w:rsidP="00D0652A">
          <w:pPr>
            <w:pStyle w:val="Bibliografa"/>
            <w:spacing w:after="240"/>
            <w:jc w:val="both"/>
            <w:rPr>
              <w:noProof/>
              <w:sz w:val="22"/>
              <w:szCs w:val="22"/>
              <w:lang w:val="en-US"/>
            </w:rPr>
          </w:pPr>
          <w:r w:rsidRPr="00D0652A">
            <w:rPr>
              <w:noProof/>
              <w:sz w:val="22"/>
              <w:szCs w:val="22"/>
              <w:lang w:val="en-US"/>
            </w:rPr>
            <w:t xml:space="preserve">Potts, K. E. </w:t>
          </w:r>
          <w:r w:rsidR="00D0652A">
            <w:rPr>
              <w:noProof/>
              <w:sz w:val="22"/>
              <w:szCs w:val="22"/>
              <w:lang w:val="en-US"/>
            </w:rPr>
            <w:t>(</w:t>
          </w:r>
          <w:r w:rsidRPr="00D0652A">
            <w:rPr>
              <w:noProof/>
              <w:sz w:val="22"/>
              <w:szCs w:val="22"/>
              <w:lang w:val="en-US"/>
            </w:rPr>
            <w:t>2013</w:t>
          </w:r>
          <w:r w:rsidR="00D0652A">
            <w:rPr>
              <w:noProof/>
              <w:sz w:val="22"/>
              <w:szCs w:val="22"/>
              <w:lang w:val="en-US"/>
            </w:rPr>
            <w:t>)</w:t>
          </w:r>
          <w:r w:rsidRPr="00D0652A">
            <w:rPr>
              <w:noProof/>
              <w:sz w:val="22"/>
              <w:szCs w:val="22"/>
              <w:lang w:val="en-US"/>
            </w:rPr>
            <w:t xml:space="preserve"> </w:t>
          </w:r>
          <w:r w:rsidR="00174EEC" w:rsidRPr="00D0652A">
            <w:rPr>
              <w:i/>
              <w:iCs/>
              <w:noProof/>
              <w:sz w:val="22"/>
              <w:szCs w:val="22"/>
              <w:lang w:val="en-US"/>
            </w:rPr>
            <w:t>U</w:t>
          </w:r>
          <w:r w:rsidR="00F01F3B" w:rsidRPr="00D0652A">
            <w:rPr>
              <w:i/>
              <w:iCs/>
              <w:noProof/>
              <w:sz w:val="22"/>
              <w:szCs w:val="22"/>
              <w:lang w:val="en-US"/>
            </w:rPr>
            <w:t>sing land administration for land risk management</w:t>
          </w:r>
          <w:r w:rsidRPr="00D0652A">
            <w:rPr>
              <w:i/>
              <w:iCs/>
              <w:noProof/>
              <w:sz w:val="22"/>
              <w:szCs w:val="22"/>
              <w:lang w:val="en-US"/>
            </w:rPr>
            <w:t xml:space="preserve">. </w:t>
          </w:r>
          <w:r w:rsidRPr="00D0652A">
            <w:rPr>
              <w:noProof/>
              <w:sz w:val="22"/>
              <w:szCs w:val="22"/>
              <w:lang w:val="en-US"/>
            </w:rPr>
            <w:t>Melbourne(Victoria): The University of Melbourne.</w:t>
          </w:r>
        </w:p>
        <w:p w:rsidR="007E60DF" w:rsidRPr="00D0652A" w:rsidRDefault="00D0652A" w:rsidP="00D0652A">
          <w:pPr>
            <w:pStyle w:val="Bibliografa"/>
            <w:spacing w:after="240"/>
            <w:jc w:val="both"/>
            <w:rPr>
              <w:noProof/>
              <w:sz w:val="22"/>
              <w:szCs w:val="22"/>
              <w:lang w:val="es-EC"/>
            </w:rPr>
          </w:pPr>
          <w:r>
            <w:rPr>
              <w:noProof/>
              <w:sz w:val="22"/>
              <w:szCs w:val="22"/>
              <w:lang w:val="en-US"/>
            </w:rPr>
            <w:t>Rodriguez, F. y otros. (</w:t>
          </w:r>
          <w:r w:rsidR="007E60DF" w:rsidRPr="00D0652A">
            <w:rPr>
              <w:noProof/>
              <w:sz w:val="22"/>
              <w:szCs w:val="22"/>
              <w:lang w:val="en-US"/>
            </w:rPr>
            <w:t>2016</w:t>
          </w:r>
          <w:r>
            <w:rPr>
              <w:noProof/>
              <w:sz w:val="22"/>
              <w:szCs w:val="22"/>
              <w:lang w:val="en-US"/>
            </w:rPr>
            <w:t>)</w:t>
          </w:r>
          <w:r w:rsidR="00174EEC" w:rsidRPr="00D0652A">
            <w:rPr>
              <w:noProof/>
              <w:sz w:val="22"/>
              <w:szCs w:val="22"/>
              <w:lang w:val="en-US"/>
            </w:rPr>
            <w:t xml:space="preserve"> </w:t>
          </w:r>
          <w:r w:rsidR="00CC252F">
            <w:rPr>
              <w:noProof/>
              <w:sz w:val="22"/>
              <w:szCs w:val="22"/>
              <w:lang w:val="en-US"/>
            </w:rPr>
            <w:t>"</w:t>
          </w:r>
          <w:r w:rsidR="00F01F3B">
            <w:rPr>
              <w:noProof/>
              <w:sz w:val="22"/>
              <w:szCs w:val="22"/>
              <w:lang w:val="en-US"/>
            </w:rPr>
            <w:t>E</w:t>
          </w:r>
          <w:r w:rsidR="00CC252F" w:rsidRPr="00D0652A">
            <w:rPr>
              <w:noProof/>
              <w:sz w:val="22"/>
              <w:szCs w:val="22"/>
              <w:lang w:val="en-US"/>
            </w:rPr>
            <w:t xml:space="preserve">conomic risk assessment of </w:t>
          </w:r>
          <w:r w:rsidR="00CC252F">
            <w:rPr>
              <w:noProof/>
              <w:sz w:val="22"/>
              <w:szCs w:val="22"/>
              <w:lang w:val="en-US"/>
            </w:rPr>
            <w:t>C</w:t>
          </w:r>
          <w:r w:rsidR="00CC252F" w:rsidRPr="00D0652A">
            <w:rPr>
              <w:noProof/>
              <w:sz w:val="22"/>
              <w:szCs w:val="22"/>
              <w:lang w:val="en-US"/>
            </w:rPr>
            <w:t xml:space="preserve">otopaxi volcano, </w:t>
          </w:r>
          <w:r w:rsidR="00CC252F">
            <w:rPr>
              <w:noProof/>
              <w:sz w:val="22"/>
              <w:szCs w:val="22"/>
              <w:lang w:val="en-US"/>
            </w:rPr>
            <w:t>E</w:t>
          </w:r>
          <w:r w:rsidR="00CC252F" w:rsidRPr="00D0652A">
            <w:rPr>
              <w:noProof/>
              <w:sz w:val="22"/>
              <w:szCs w:val="22"/>
              <w:lang w:val="en-US"/>
            </w:rPr>
            <w:t>cuador, in case of a future lahar emplacement</w:t>
          </w:r>
          <w:r w:rsidR="00CC252F">
            <w:rPr>
              <w:noProof/>
              <w:sz w:val="22"/>
              <w:szCs w:val="22"/>
              <w:lang w:val="en-US"/>
            </w:rPr>
            <w:t>"</w:t>
          </w:r>
          <w:r w:rsidR="007E60DF" w:rsidRPr="00D0652A">
            <w:rPr>
              <w:noProof/>
              <w:sz w:val="22"/>
              <w:szCs w:val="22"/>
              <w:lang w:val="en-US"/>
            </w:rPr>
            <w:t xml:space="preserve">. </w:t>
          </w:r>
          <w:r w:rsidR="007E60DF" w:rsidRPr="00D0652A">
            <w:rPr>
              <w:i/>
              <w:iCs/>
              <w:noProof/>
              <w:sz w:val="22"/>
              <w:szCs w:val="22"/>
              <w:lang w:val="es-EC"/>
            </w:rPr>
            <w:t xml:space="preserve">Natural Hazards, </w:t>
          </w:r>
          <w:r w:rsidR="007E60DF" w:rsidRPr="00D0652A">
            <w:rPr>
              <w:noProof/>
              <w:sz w:val="22"/>
              <w:szCs w:val="22"/>
              <w:lang w:val="es-EC"/>
            </w:rPr>
            <w:t>pp. 605-618.</w:t>
          </w:r>
        </w:p>
        <w:p w:rsidR="007E60DF" w:rsidRPr="00D0652A" w:rsidRDefault="00174EEC" w:rsidP="00D0652A">
          <w:pPr>
            <w:pStyle w:val="Bibliografa"/>
            <w:spacing w:after="240"/>
            <w:jc w:val="both"/>
            <w:rPr>
              <w:noProof/>
              <w:sz w:val="22"/>
              <w:szCs w:val="22"/>
              <w:lang w:val="es-EC"/>
            </w:rPr>
          </w:pPr>
          <w:r w:rsidRPr="00D0652A">
            <w:rPr>
              <w:noProof/>
              <w:sz w:val="22"/>
              <w:szCs w:val="22"/>
              <w:lang w:val="es-EC"/>
            </w:rPr>
            <w:t xml:space="preserve">Rojas, R. </w:t>
          </w:r>
          <w:r w:rsidR="00D0652A">
            <w:rPr>
              <w:noProof/>
              <w:sz w:val="22"/>
              <w:szCs w:val="22"/>
              <w:lang w:val="es-EC"/>
            </w:rPr>
            <w:t>(</w:t>
          </w:r>
          <w:r w:rsidRPr="00D0652A">
            <w:rPr>
              <w:noProof/>
              <w:sz w:val="22"/>
              <w:szCs w:val="22"/>
              <w:lang w:val="es-EC"/>
            </w:rPr>
            <w:t>2013</w:t>
          </w:r>
          <w:r w:rsidR="00D0652A">
            <w:rPr>
              <w:noProof/>
              <w:sz w:val="22"/>
              <w:szCs w:val="22"/>
              <w:lang w:val="es-EC"/>
            </w:rPr>
            <w:t>)</w:t>
          </w:r>
          <w:r w:rsidRPr="00D0652A">
            <w:rPr>
              <w:noProof/>
              <w:sz w:val="22"/>
              <w:szCs w:val="22"/>
              <w:lang w:val="es-EC"/>
            </w:rPr>
            <w:t xml:space="preserve"> </w:t>
          </w:r>
          <w:r w:rsidRPr="00D0652A">
            <w:rPr>
              <w:i/>
              <w:iCs/>
              <w:noProof/>
              <w:sz w:val="22"/>
              <w:szCs w:val="22"/>
              <w:lang w:val="es-EC"/>
            </w:rPr>
            <w:t>M</w:t>
          </w:r>
          <w:r w:rsidR="00F01F3B" w:rsidRPr="00D0652A">
            <w:rPr>
              <w:i/>
              <w:iCs/>
              <w:noProof/>
              <w:sz w:val="22"/>
              <w:szCs w:val="22"/>
              <w:lang w:val="es-EC"/>
            </w:rPr>
            <w:t>etodología para incorporar cambio climático y gestión del riesgo de desastres en procesos de ot</w:t>
          </w:r>
          <w:r w:rsidRPr="00D0652A">
            <w:rPr>
              <w:i/>
              <w:iCs/>
              <w:noProof/>
              <w:sz w:val="22"/>
              <w:szCs w:val="22"/>
              <w:lang w:val="es-EC"/>
            </w:rPr>
            <w:t xml:space="preserve">. </w:t>
          </w:r>
          <w:r w:rsidRPr="00D0652A">
            <w:rPr>
              <w:noProof/>
              <w:sz w:val="22"/>
              <w:szCs w:val="22"/>
              <w:lang w:val="es-EC"/>
            </w:rPr>
            <w:t>s.l.:GIZ GmbH–Deutsche Gesellschaft für Internationale Zusammenarbeit.</w:t>
          </w:r>
        </w:p>
        <w:p w:rsidR="007E60DF" w:rsidRPr="00D0652A" w:rsidRDefault="007E60DF" w:rsidP="00D0652A">
          <w:pPr>
            <w:pStyle w:val="Bibliografa"/>
            <w:spacing w:after="240"/>
            <w:jc w:val="both"/>
            <w:rPr>
              <w:noProof/>
              <w:sz w:val="22"/>
              <w:szCs w:val="22"/>
            </w:rPr>
          </w:pPr>
          <w:r w:rsidRPr="00D0652A">
            <w:rPr>
              <w:noProof/>
              <w:sz w:val="22"/>
              <w:szCs w:val="22"/>
            </w:rPr>
            <w:t xml:space="preserve">Saunders, W., Beban, J. </w:t>
          </w:r>
          <w:r w:rsidR="00D0652A" w:rsidRPr="00D0652A">
            <w:rPr>
              <w:noProof/>
              <w:sz w:val="22"/>
              <w:szCs w:val="22"/>
            </w:rPr>
            <w:t>y</w:t>
          </w:r>
          <w:r w:rsidRPr="00D0652A">
            <w:rPr>
              <w:noProof/>
              <w:sz w:val="22"/>
              <w:szCs w:val="22"/>
            </w:rPr>
            <w:t xml:space="preserve"> Kilvington, M. </w:t>
          </w:r>
          <w:r w:rsidR="00D0652A">
            <w:rPr>
              <w:noProof/>
              <w:sz w:val="22"/>
              <w:szCs w:val="22"/>
            </w:rPr>
            <w:t>(</w:t>
          </w:r>
          <w:r w:rsidRPr="00D0652A">
            <w:rPr>
              <w:noProof/>
              <w:sz w:val="22"/>
              <w:szCs w:val="22"/>
            </w:rPr>
            <w:t>2013</w:t>
          </w:r>
          <w:r w:rsidR="00D0652A">
            <w:rPr>
              <w:noProof/>
              <w:sz w:val="22"/>
              <w:szCs w:val="22"/>
            </w:rPr>
            <w:t>)</w:t>
          </w:r>
          <w:r w:rsidR="00F01F3B">
            <w:rPr>
              <w:noProof/>
              <w:sz w:val="22"/>
              <w:szCs w:val="22"/>
            </w:rPr>
            <w:t xml:space="preserve"> </w:t>
          </w:r>
          <w:r w:rsidRPr="00D0652A">
            <w:rPr>
              <w:noProof/>
              <w:sz w:val="22"/>
              <w:szCs w:val="22"/>
            </w:rPr>
            <w:t xml:space="preserve"> </w:t>
          </w:r>
          <w:r w:rsidR="00F01F3B">
            <w:rPr>
              <w:noProof/>
              <w:sz w:val="22"/>
              <w:szCs w:val="22"/>
            </w:rPr>
            <w:t>R</w:t>
          </w:r>
          <w:r w:rsidR="00F01F3B" w:rsidRPr="00D0652A">
            <w:rPr>
              <w:i/>
              <w:iCs/>
              <w:noProof/>
              <w:sz w:val="22"/>
              <w:szCs w:val="22"/>
            </w:rPr>
            <w:t>isk-based land use planning for natural hazard risk reduction</w:t>
          </w:r>
          <w:r w:rsidR="00174EEC" w:rsidRPr="00D0652A">
            <w:rPr>
              <w:i/>
              <w:iCs/>
              <w:noProof/>
              <w:sz w:val="22"/>
              <w:szCs w:val="22"/>
            </w:rPr>
            <w:t>.</w:t>
          </w:r>
          <w:r w:rsidRPr="00D0652A">
            <w:rPr>
              <w:i/>
              <w:iCs/>
              <w:noProof/>
              <w:sz w:val="22"/>
              <w:szCs w:val="22"/>
            </w:rPr>
            <w:t xml:space="preserve"> </w:t>
          </w:r>
          <w:r w:rsidRPr="00D0652A">
            <w:rPr>
              <w:noProof/>
              <w:sz w:val="22"/>
              <w:szCs w:val="22"/>
            </w:rPr>
            <w:t>Lower Hutt: Institute of Geological and Nuclear Sciences Limited.</w:t>
          </w:r>
        </w:p>
        <w:p w:rsidR="007E60DF" w:rsidRPr="00770A98" w:rsidRDefault="007E60DF" w:rsidP="00D0652A">
          <w:pPr>
            <w:pStyle w:val="Bibliografa"/>
            <w:spacing w:after="240"/>
            <w:jc w:val="both"/>
            <w:rPr>
              <w:noProof/>
              <w:sz w:val="22"/>
              <w:szCs w:val="22"/>
              <w:lang w:val="es-EC"/>
            </w:rPr>
          </w:pPr>
          <w:r w:rsidRPr="00D0652A">
            <w:rPr>
              <w:noProof/>
              <w:sz w:val="22"/>
              <w:szCs w:val="22"/>
              <w:lang w:val="en-US"/>
            </w:rPr>
            <w:t xml:space="preserve">Saunders, W. </w:t>
          </w:r>
          <w:r w:rsidR="00D0652A" w:rsidRPr="00D0652A">
            <w:rPr>
              <w:noProof/>
              <w:sz w:val="22"/>
              <w:szCs w:val="22"/>
              <w:lang w:val="en-US"/>
            </w:rPr>
            <w:t>y</w:t>
          </w:r>
          <w:r w:rsidRPr="00D0652A">
            <w:rPr>
              <w:noProof/>
              <w:sz w:val="22"/>
              <w:szCs w:val="22"/>
              <w:lang w:val="en-US"/>
            </w:rPr>
            <w:t xml:space="preserve"> Kilvington, M. </w:t>
          </w:r>
          <w:r w:rsidR="00A80661">
            <w:rPr>
              <w:noProof/>
              <w:sz w:val="22"/>
              <w:szCs w:val="22"/>
              <w:lang w:val="en-US"/>
            </w:rPr>
            <w:t>(</w:t>
          </w:r>
          <w:r w:rsidRPr="00D0652A">
            <w:rPr>
              <w:noProof/>
              <w:sz w:val="22"/>
              <w:szCs w:val="22"/>
              <w:lang w:val="en-US"/>
            </w:rPr>
            <w:t>2016</w:t>
          </w:r>
          <w:r w:rsidR="00A80661">
            <w:rPr>
              <w:noProof/>
              <w:sz w:val="22"/>
              <w:szCs w:val="22"/>
              <w:lang w:val="en-US"/>
            </w:rPr>
            <w:t>)</w:t>
          </w:r>
          <w:r w:rsidRPr="00D0652A">
            <w:rPr>
              <w:noProof/>
              <w:sz w:val="22"/>
              <w:szCs w:val="22"/>
              <w:lang w:val="en-US"/>
            </w:rPr>
            <w:t xml:space="preserve"> </w:t>
          </w:r>
          <w:r w:rsidR="00F01F3B">
            <w:rPr>
              <w:noProof/>
              <w:sz w:val="22"/>
              <w:szCs w:val="22"/>
              <w:lang w:val="en-US"/>
            </w:rPr>
            <w:t xml:space="preserve"> </w:t>
          </w:r>
          <w:r w:rsidR="00CC252F">
            <w:rPr>
              <w:noProof/>
              <w:sz w:val="22"/>
              <w:szCs w:val="22"/>
              <w:lang w:val="en-US"/>
            </w:rPr>
            <w:t>"I</w:t>
          </w:r>
          <w:r w:rsidR="00CC252F" w:rsidRPr="00D0652A">
            <w:rPr>
              <w:noProof/>
              <w:sz w:val="22"/>
              <w:szCs w:val="22"/>
              <w:lang w:val="en-US"/>
            </w:rPr>
            <w:t xml:space="preserve">nnovative land use planning for natural hazard risk reduction: a consequence-driven approach from </w:t>
          </w:r>
          <w:r w:rsidR="00CC252F">
            <w:rPr>
              <w:noProof/>
              <w:sz w:val="22"/>
              <w:szCs w:val="22"/>
              <w:lang w:val="en-US"/>
            </w:rPr>
            <w:t>New Z</w:t>
          </w:r>
          <w:r w:rsidR="00CC252F" w:rsidRPr="00D0652A">
            <w:rPr>
              <w:noProof/>
              <w:sz w:val="22"/>
              <w:szCs w:val="22"/>
              <w:lang w:val="en-US"/>
            </w:rPr>
            <w:t>ealand</w:t>
          </w:r>
          <w:r w:rsidR="00CC252F">
            <w:rPr>
              <w:noProof/>
              <w:sz w:val="22"/>
              <w:szCs w:val="22"/>
              <w:lang w:val="en-US"/>
            </w:rPr>
            <w:t>"</w:t>
          </w:r>
          <w:r w:rsidRPr="00D0652A">
            <w:rPr>
              <w:noProof/>
              <w:sz w:val="22"/>
              <w:szCs w:val="22"/>
              <w:lang w:val="en-US"/>
            </w:rPr>
            <w:t xml:space="preserve">. </w:t>
          </w:r>
          <w:r w:rsidRPr="00770A98">
            <w:rPr>
              <w:i/>
              <w:iCs/>
              <w:noProof/>
              <w:sz w:val="22"/>
              <w:szCs w:val="22"/>
              <w:lang w:val="es-EC"/>
            </w:rPr>
            <w:t xml:space="preserve">International Journal of Disaster Risk Reduction, </w:t>
          </w:r>
          <w:r w:rsidRPr="00770A98">
            <w:rPr>
              <w:noProof/>
              <w:sz w:val="22"/>
              <w:szCs w:val="22"/>
              <w:lang w:val="es-EC"/>
            </w:rPr>
            <w:t>Issue 18, pp. 244-255.</w:t>
          </w:r>
        </w:p>
        <w:p w:rsidR="002831F0" w:rsidRPr="00770A98" w:rsidRDefault="002831F0" w:rsidP="002831F0">
          <w:pPr>
            <w:rPr>
              <w:lang w:val="es-EC"/>
            </w:rPr>
          </w:pPr>
        </w:p>
        <w:p w:rsidR="007E60DF" w:rsidRPr="00D0652A" w:rsidRDefault="007E60DF" w:rsidP="00D0652A">
          <w:pPr>
            <w:pStyle w:val="Bibliografa"/>
            <w:spacing w:after="240"/>
            <w:jc w:val="both"/>
            <w:rPr>
              <w:noProof/>
              <w:sz w:val="22"/>
              <w:szCs w:val="22"/>
              <w:lang w:val="es-ES"/>
            </w:rPr>
          </w:pPr>
          <w:r w:rsidRPr="00770A98">
            <w:rPr>
              <w:noProof/>
              <w:sz w:val="22"/>
              <w:szCs w:val="22"/>
              <w:lang w:val="es-EC"/>
            </w:rPr>
            <w:lastRenderedPageBreak/>
            <w:t xml:space="preserve">Tibanlombo, J. </w:t>
          </w:r>
          <w:r w:rsidR="00D0652A" w:rsidRPr="00770A98">
            <w:rPr>
              <w:noProof/>
              <w:sz w:val="22"/>
              <w:szCs w:val="22"/>
              <w:lang w:val="es-EC"/>
            </w:rPr>
            <w:t>y</w:t>
          </w:r>
          <w:r w:rsidRPr="00770A98">
            <w:rPr>
              <w:noProof/>
              <w:sz w:val="22"/>
              <w:szCs w:val="22"/>
              <w:lang w:val="es-EC"/>
            </w:rPr>
            <w:t xml:space="preserve"> Villacís, A. </w:t>
          </w:r>
          <w:r w:rsidR="00A80661" w:rsidRPr="00770A98">
            <w:rPr>
              <w:noProof/>
              <w:sz w:val="22"/>
              <w:szCs w:val="22"/>
              <w:lang w:val="es-EC"/>
            </w:rPr>
            <w:t>(</w:t>
          </w:r>
          <w:r w:rsidRPr="00770A98">
            <w:rPr>
              <w:noProof/>
              <w:sz w:val="22"/>
              <w:szCs w:val="22"/>
              <w:lang w:val="es-EC"/>
            </w:rPr>
            <w:t>2013</w:t>
          </w:r>
          <w:r w:rsidR="00A80661" w:rsidRPr="00770A98">
            <w:rPr>
              <w:noProof/>
              <w:sz w:val="22"/>
              <w:szCs w:val="22"/>
              <w:lang w:val="es-EC"/>
            </w:rPr>
            <w:t>)</w:t>
          </w:r>
          <w:r w:rsidRPr="00770A98">
            <w:rPr>
              <w:noProof/>
              <w:sz w:val="22"/>
              <w:szCs w:val="22"/>
              <w:lang w:val="es-EC"/>
            </w:rPr>
            <w:t xml:space="preserve"> </w:t>
          </w:r>
          <w:r w:rsidR="00F01F3B" w:rsidRPr="00770A98">
            <w:rPr>
              <w:noProof/>
              <w:sz w:val="22"/>
              <w:szCs w:val="22"/>
              <w:lang w:val="es-EC"/>
            </w:rPr>
            <w:t xml:space="preserve"> </w:t>
          </w:r>
          <w:r w:rsidR="00174EEC" w:rsidRPr="00D0652A">
            <w:rPr>
              <w:i/>
              <w:iCs/>
              <w:noProof/>
              <w:sz w:val="22"/>
              <w:szCs w:val="22"/>
              <w:lang w:val="es-ES"/>
            </w:rPr>
            <w:t>A</w:t>
          </w:r>
          <w:r w:rsidR="00F01F3B" w:rsidRPr="00D0652A">
            <w:rPr>
              <w:i/>
              <w:iCs/>
              <w:noProof/>
              <w:sz w:val="22"/>
              <w:szCs w:val="22"/>
              <w:lang w:val="es-ES"/>
            </w:rPr>
            <w:t xml:space="preserve">plicación y sistematización de la propuesta metodológica para el análisis de vulnerabilidad de la parroquia </w:t>
          </w:r>
          <w:r w:rsidR="00F01F3B">
            <w:rPr>
              <w:i/>
              <w:iCs/>
              <w:noProof/>
              <w:sz w:val="22"/>
              <w:szCs w:val="22"/>
              <w:lang w:val="es-ES"/>
            </w:rPr>
            <w:t>S</w:t>
          </w:r>
          <w:r w:rsidR="00F01F3B" w:rsidRPr="00D0652A">
            <w:rPr>
              <w:i/>
              <w:iCs/>
              <w:noProof/>
              <w:sz w:val="22"/>
              <w:szCs w:val="22"/>
              <w:lang w:val="es-ES"/>
            </w:rPr>
            <w:t xml:space="preserve">angolquí, del cantón </w:t>
          </w:r>
          <w:r w:rsidR="00F01F3B">
            <w:rPr>
              <w:i/>
              <w:iCs/>
              <w:noProof/>
              <w:sz w:val="22"/>
              <w:szCs w:val="22"/>
              <w:lang w:val="es-ES"/>
            </w:rPr>
            <w:t>R</w:t>
          </w:r>
          <w:r w:rsidR="00F01F3B" w:rsidRPr="00D0652A">
            <w:rPr>
              <w:i/>
              <w:iCs/>
              <w:noProof/>
              <w:sz w:val="22"/>
              <w:szCs w:val="22"/>
              <w:lang w:val="es-ES"/>
            </w:rPr>
            <w:t>umiñahui.</w:t>
          </w:r>
          <w:r w:rsidRPr="00D0652A">
            <w:rPr>
              <w:i/>
              <w:iCs/>
              <w:noProof/>
              <w:sz w:val="22"/>
              <w:szCs w:val="22"/>
              <w:lang w:val="es-ES"/>
            </w:rPr>
            <w:t xml:space="preserve"> </w:t>
          </w:r>
          <w:r w:rsidRPr="00D0652A">
            <w:rPr>
              <w:noProof/>
              <w:sz w:val="22"/>
              <w:szCs w:val="22"/>
              <w:lang w:val="es-ES"/>
            </w:rPr>
            <w:t>Sangolquí: Universidad de las Fuerzas Armadas - ESPE, Carrera de Ingeniería Geográfica y del Medio Ambiente.</w:t>
          </w:r>
        </w:p>
        <w:p w:rsidR="007E60DF" w:rsidRPr="00D0652A" w:rsidRDefault="007E60DF" w:rsidP="00D0652A">
          <w:pPr>
            <w:pStyle w:val="Bibliografa"/>
            <w:spacing w:after="240"/>
            <w:jc w:val="both"/>
            <w:rPr>
              <w:noProof/>
              <w:sz w:val="22"/>
              <w:szCs w:val="22"/>
              <w:lang w:val="en-US"/>
            </w:rPr>
          </w:pPr>
          <w:r w:rsidRPr="00D0652A">
            <w:rPr>
              <w:noProof/>
              <w:sz w:val="22"/>
              <w:szCs w:val="22"/>
              <w:lang w:val="en-US"/>
            </w:rPr>
            <w:t>Unger, E. y otros</w:t>
          </w:r>
          <w:r w:rsidR="00A80661">
            <w:rPr>
              <w:noProof/>
              <w:sz w:val="22"/>
              <w:szCs w:val="22"/>
              <w:lang w:val="en-US"/>
            </w:rPr>
            <w:t>.</w:t>
          </w:r>
          <w:r w:rsidRPr="00D0652A">
            <w:rPr>
              <w:noProof/>
              <w:sz w:val="22"/>
              <w:szCs w:val="22"/>
              <w:lang w:val="en-US"/>
            </w:rPr>
            <w:t xml:space="preserve"> </w:t>
          </w:r>
          <w:r w:rsidR="00A80661">
            <w:rPr>
              <w:noProof/>
              <w:sz w:val="22"/>
              <w:szCs w:val="22"/>
              <w:lang w:val="en-US"/>
            </w:rPr>
            <w:t>(</w:t>
          </w:r>
          <w:r w:rsidRPr="00D0652A">
            <w:rPr>
              <w:noProof/>
              <w:sz w:val="22"/>
              <w:szCs w:val="22"/>
              <w:lang w:val="en-US"/>
            </w:rPr>
            <w:t>2019</w:t>
          </w:r>
          <w:r w:rsidR="00A80661">
            <w:rPr>
              <w:noProof/>
              <w:sz w:val="22"/>
              <w:szCs w:val="22"/>
              <w:lang w:val="en-US"/>
            </w:rPr>
            <w:t>)</w:t>
          </w:r>
          <w:r w:rsidR="00F01F3B">
            <w:rPr>
              <w:noProof/>
              <w:sz w:val="22"/>
              <w:szCs w:val="22"/>
              <w:lang w:val="en-US"/>
            </w:rPr>
            <w:t xml:space="preserve"> </w:t>
          </w:r>
          <w:r w:rsidRPr="00D0652A">
            <w:rPr>
              <w:noProof/>
              <w:sz w:val="22"/>
              <w:szCs w:val="22"/>
              <w:lang w:val="en-US"/>
            </w:rPr>
            <w:t xml:space="preserve"> </w:t>
          </w:r>
          <w:r w:rsidR="00174EEC" w:rsidRPr="00D0652A">
            <w:rPr>
              <w:i/>
              <w:iCs/>
              <w:noProof/>
              <w:sz w:val="22"/>
              <w:szCs w:val="22"/>
              <w:lang w:val="en-US"/>
            </w:rPr>
            <w:t>C</w:t>
          </w:r>
          <w:r w:rsidR="00F01F3B" w:rsidRPr="00D0652A">
            <w:rPr>
              <w:i/>
              <w:iCs/>
              <w:noProof/>
              <w:sz w:val="22"/>
              <w:szCs w:val="22"/>
              <w:lang w:val="en-US"/>
            </w:rPr>
            <w:t xml:space="preserve">reating resilience to natural disasters through ffp land administration – an application in </w:t>
          </w:r>
          <w:r w:rsidR="00F01F3B">
            <w:rPr>
              <w:i/>
              <w:iCs/>
              <w:noProof/>
              <w:sz w:val="22"/>
              <w:szCs w:val="22"/>
              <w:lang w:val="en-US"/>
            </w:rPr>
            <w:t>N</w:t>
          </w:r>
          <w:r w:rsidR="00F01F3B" w:rsidRPr="00D0652A">
            <w:rPr>
              <w:i/>
              <w:iCs/>
              <w:noProof/>
              <w:sz w:val="22"/>
              <w:szCs w:val="22"/>
              <w:lang w:val="en-US"/>
            </w:rPr>
            <w:t>epal</w:t>
          </w:r>
          <w:r w:rsidRPr="00D0652A">
            <w:rPr>
              <w:i/>
              <w:iCs/>
              <w:noProof/>
              <w:sz w:val="22"/>
              <w:szCs w:val="22"/>
              <w:lang w:val="en-US"/>
            </w:rPr>
            <w:t xml:space="preserve">. </w:t>
          </w:r>
          <w:r w:rsidRPr="00D0652A">
            <w:rPr>
              <w:noProof/>
              <w:sz w:val="22"/>
              <w:szCs w:val="22"/>
              <w:lang w:val="en-US"/>
            </w:rPr>
            <w:t>Washington DC: 20th Annual World Bank Conference on Land and Poverty 2019.</w:t>
          </w:r>
        </w:p>
        <w:p w:rsidR="007E60DF" w:rsidRPr="00D0652A" w:rsidRDefault="007E60DF" w:rsidP="00D0652A">
          <w:pPr>
            <w:pStyle w:val="Bibliografa"/>
            <w:spacing w:after="240"/>
            <w:jc w:val="both"/>
            <w:rPr>
              <w:noProof/>
              <w:sz w:val="22"/>
              <w:szCs w:val="22"/>
              <w:lang w:val="es-EC"/>
            </w:rPr>
          </w:pPr>
          <w:r w:rsidRPr="00D0652A">
            <w:rPr>
              <w:noProof/>
              <w:sz w:val="22"/>
              <w:szCs w:val="22"/>
              <w:lang w:val="en-US"/>
            </w:rPr>
            <w:t xml:space="preserve">Unger, E. M., Zevenbergen, J., Bennett, R. </w:t>
          </w:r>
          <w:r w:rsidR="00D0652A" w:rsidRPr="00D0652A">
            <w:rPr>
              <w:noProof/>
              <w:sz w:val="22"/>
              <w:szCs w:val="22"/>
              <w:lang w:val="en-US"/>
            </w:rPr>
            <w:t>y</w:t>
          </w:r>
          <w:r w:rsidRPr="00D0652A">
            <w:rPr>
              <w:noProof/>
              <w:sz w:val="22"/>
              <w:szCs w:val="22"/>
              <w:lang w:val="en-US"/>
            </w:rPr>
            <w:t xml:space="preserve"> Lemmen, C. </w:t>
          </w:r>
          <w:r w:rsidR="00A80661">
            <w:rPr>
              <w:noProof/>
              <w:sz w:val="22"/>
              <w:szCs w:val="22"/>
              <w:lang w:val="en-US"/>
            </w:rPr>
            <w:t>(</w:t>
          </w:r>
          <w:r w:rsidRPr="00D0652A">
            <w:rPr>
              <w:noProof/>
              <w:sz w:val="22"/>
              <w:szCs w:val="22"/>
              <w:lang w:val="en-US"/>
            </w:rPr>
            <w:t>2019</w:t>
          </w:r>
          <w:r w:rsidR="00A80661">
            <w:rPr>
              <w:noProof/>
              <w:sz w:val="22"/>
              <w:szCs w:val="22"/>
              <w:lang w:val="en-US"/>
            </w:rPr>
            <w:t>)</w:t>
          </w:r>
          <w:r w:rsidRPr="00D0652A">
            <w:rPr>
              <w:noProof/>
              <w:sz w:val="22"/>
              <w:szCs w:val="22"/>
              <w:lang w:val="en-US"/>
            </w:rPr>
            <w:t xml:space="preserve"> </w:t>
          </w:r>
          <w:r w:rsidR="00CC252F">
            <w:rPr>
              <w:noProof/>
              <w:sz w:val="22"/>
              <w:szCs w:val="22"/>
              <w:lang w:val="en-US"/>
            </w:rPr>
            <w:t>"</w:t>
          </w:r>
          <w:r w:rsidR="00CC252F" w:rsidRPr="00D0652A">
            <w:rPr>
              <w:noProof/>
              <w:sz w:val="22"/>
              <w:szCs w:val="22"/>
              <w:lang w:val="en-US"/>
            </w:rPr>
            <w:t xml:space="preserve">Application of </w:t>
          </w:r>
          <w:r w:rsidR="00CC252F">
            <w:rPr>
              <w:noProof/>
              <w:sz w:val="22"/>
              <w:szCs w:val="22"/>
              <w:lang w:val="en-US"/>
            </w:rPr>
            <w:t>LADM</w:t>
          </w:r>
          <w:r w:rsidR="00CC252F" w:rsidRPr="00D0652A">
            <w:rPr>
              <w:noProof/>
              <w:sz w:val="22"/>
              <w:szCs w:val="22"/>
              <w:lang w:val="en-US"/>
            </w:rPr>
            <w:t xml:space="preserve"> for disaster prone areas and communities</w:t>
          </w:r>
          <w:r w:rsidR="00CC252F">
            <w:rPr>
              <w:noProof/>
              <w:sz w:val="22"/>
              <w:szCs w:val="22"/>
              <w:lang w:val="en-US"/>
            </w:rPr>
            <w:t>"</w:t>
          </w:r>
          <w:r w:rsidR="00174EEC" w:rsidRPr="00D0652A">
            <w:rPr>
              <w:noProof/>
              <w:sz w:val="22"/>
              <w:szCs w:val="22"/>
              <w:lang w:val="en-US"/>
            </w:rPr>
            <w:t>.</w:t>
          </w:r>
          <w:r w:rsidRPr="00D0652A">
            <w:rPr>
              <w:noProof/>
              <w:sz w:val="22"/>
              <w:szCs w:val="22"/>
              <w:lang w:val="en-US"/>
            </w:rPr>
            <w:t xml:space="preserve"> </w:t>
          </w:r>
          <w:r w:rsidRPr="00D0652A">
            <w:rPr>
              <w:i/>
              <w:iCs/>
              <w:noProof/>
              <w:sz w:val="22"/>
              <w:szCs w:val="22"/>
              <w:lang w:val="es-EC"/>
            </w:rPr>
            <w:t xml:space="preserve">Land Use Policy, </w:t>
          </w:r>
          <w:r w:rsidRPr="00D0652A">
            <w:rPr>
              <w:noProof/>
              <w:sz w:val="22"/>
              <w:szCs w:val="22"/>
              <w:lang w:val="es-EC"/>
            </w:rPr>
            <w:t>January, 80, pp. 118-126.</w:t>
          </w:r>
        </w:p>
        <w:p w:rsidR="00380648" w:rsidRPr="00D0652A" w:rsidRDefault="00380648" w:rsidP="00D0652A">
          <w:pPr>
            <w:pStyle w:val="Bibliografa"/>
            <w:spacing w:after="240"/>
            <w:jc w:val="both"/>
            <w:rPr>
              <w:noProof/>
              <w:sz w:val="22"/>
              <w:szCs w:val="22"/>
              <w:lang w:val="en-US"/>
            </w:rPr>
          </w:pPr>
          <w:r w:rsidRPr="00D0652A">
            <w:rPr>
              <w:noProof/>
              <w:sz w:val="22"/>
              <w:szCs w:val="22"/>
              <w:lang w:val="es-EC"/>
            </w:rPr>
            <w:t>UNISDR AM</w:t>
          </w:r>
          <w:r w:rsidR="00A80661">
            <w:rPr>
              <w:noProof/>
              <w:sz w:val="22"/>
              <w:szCs w:val="22"/>
              <w:lang w:val="es-EC"/>
            </w:rPr>
            <w:t>.</w:t>
          </w:r>
          <w:r w:rsidRPr="00D0652A">
            <w:rPr>
              <w:noProof/>
              <w:sz w:val="22"/>
              <w:szCs w:val="22"/>
              <w:lang w:val="es-EC"/>
            </w:rPr>
            <w:t xml:space="preserve"> </w:t>
          </w:r>
          <w:r w:rsidR="00A80661">
            <w:rPr>
              <w:noProof/>
              <w:sz w:val="22"/>
              <w:szCs w:val="22"/>
              <w:lang w:val="es-EC"/>
            </w:rPr>
            <w:t>(</w:t>
          </w:r>
          <w:r w:rsidRPr="00D0652A">
            <w:rPr>
              <w:noProof/>
              <w:sz w:val="22"/>
              <w:szCs w:val="22"/>
              <w:lang w:val="es-EC"/>
            </w:rPr>
            <w:t>2016</w:t>
          </w:r>
          <w:r w:rsidR="00A80661">
            <w:rPr>
              <w:noProof/>
              <w:sz w:val="22"/>
              <w:szCs w:val="22"/>
              <w:lang w:val="es-EC"/>
            </w:rPr>
            <w:t>)</w:t>
          </w:r>
          <w:r w:rsidR="00F01F3B">
            <w:rPr>
              <w:noProof/>
              <w:sz w:val="22"/>
              <w:szCs w:val="22"/>
              <w:lang w:val="es-EC"/>
            </w:rPr>
            <w:t xml:space="preserve"> </w:t>
          </w:r>
          <w:r w:rsidRPr="00D0652A">
            <w:rPr>
              <w:noProof/>
              <w:sz w:val="22"/>
              <w:szCs w:val="22"/>
              <w:lang w:val="es-EC"/>
            </w:rPr>
            <w:t xml:space="preserve"> </w:t>
          </w:r>
          <w:r w:rsidR="00F01F3B">
            <w:rPr>
              <w:i/>
              <w:iCs/>
              <w:noProof/>
              <w:sz w:val="22"/>
              <w:szCs w:val="22"/>
              <w:lang w:val="es-EC"/>
            </w:rPr>
            <w:t>I</w:t>
          </w:r>
          <w:r w:rsidR="00F01F3B" w:rsidRPr="00D0652A">
            <w:rPr>
              <w:i/>
              <w:iCs/>
              <w:noProof/>
              <w:sz w:val="22"/>
              <w:szCs w:val="22"/>
              <w:lang w:val="es-EC"/>
            </w:rPr>
            <w:t xml:space="preserve">mpacto de los desastres en </w:t>
          </w:r>
          <w:r w:rsidR="00F01F3B">
            <w:rPr>
              <w:i/>
              <w:iCs/>
              <w:noProof/>
              <w:sz w:val="22"/>
              <w:szCs w:val="22"/>
              <w:lang w:val="es-EC"/>
            </w:rPr>
            <w:t>A</w:t>
          </w:r>
          <w:r w:rsidR="00F01F3B" w:rsidRPr="00D0652A">
            <w:rPr>
              <w:i/>
              <w:iCs/>
              <w:noProof/>
              <w:sz w:val="22"/>
              <w:szCs w:val="22"/>
              <w:lang w:val="es-EC"/>
            </w:rPr>
            <w:t xml:space="preserve">mérica </w:t>
          </w:r>
          <w:r w:rsidR="00F01F3B">
            <w:rPr>
              <w:i/>
              <w:iCs/>
              <w:noProof/>
              <w:sz w:val="22"/>
              <w:szCs w:val="22"/>
              <w:lang w:val="es-EC"/>
            </w:rPr>
            <w:t>L</w:t>
          </w:r>
          <w:r w:rsidR="00F01F3B" w:rsidRPr="00D0652A">
            <w:rPr>
              <w:i/>
              <w:iCs/>
              <w:noProof/>
              <w:sz w:val="22"/>
              <w:szCs w:val="22"/>
              <w:lang w:val="es-EC"/>
            </w:rPr>
            <w:t xml:space="preserve">atina y el </w:t>
          </w:r>
          <w:r w:rsidR="00F01F3B">
            <w:rPr>
              <w:i/>
              <w:iCs/>
              <w:noProof/>
              <w:sz w:val="22"/>
              <w:szCs w:val="22"/>
              <w:lang w:val="es-EC"/>
            </w:rPr>
            <w:t>C</w:t>
          </w:r>
          <w:r w:rsidR="00F01F3B" w:rsidRPr="00D0652A">
            <w:rPr>
              <w:i/>
              <w:iCs/>
              <w:noProof/>
              <w:sz w:val="22"/>
              <w:szCs w:val="22"/>
              <w:lang w:val="es-EC"/>
            </w:rPr>
            <w:t>aribe, 1990 – 2013</w:t>
          </w:r>
          <w:r w:rsidRPr="00D0652A">
            <w:rPr>
              <w:i/>
              <w:iCs/>
              <w:noProof/>
              <w:sz w:val="22"/>
              <w:szCs w:val="22"/>
              <w:lang w:val="es-EC"/>
            </w:rPr>
            <w:t xml:space="preserve">. </w:t>
          </w:r>
          <w:r w:rsidRPr="00D0652A">
            <w:rPr>
              <w:noProof/>
              <w:sz w:val="22"/>
              <w:szCs w:val="22"/>
            </w:rPr>
            <w:t>Panamá: United Nations Office for Disaster Risk Reduction – Regional Office for the Americas (UNISDR AM).</w:t>
          </w:r>
        </w:p>
        <w:p w:rsidR="00380648" w:rsidRPr="00D0652A" w:rsidRDefault="00380648" w:rsidP="00D0652A">
          <w:pPr>
            <w:pStyle w:val="Bibliografa"/>
            <w:spacing w:after="240"/>
            <w:jc w:val="both"/>
            <w:rPr>
              <w:noProof/>
              <w:sz w:val="22"/>
              <w:szCs w:val="22"/>
              <w:lang w:val="es-EC"/>
            </w:rPr>
          </w:pPr>
          <w:r w:rsidRPr="00D0652A">
            <w:rPr>
              <w:noProof/>
              <w:sz w:val="22"/>
              <w:szCs w:val="22"/>
              <w:lang w:val="es-EC"/>
            </w:rPr>
            <w:t xml:space="preserve">Vargas, D. </w:t>
          </w:r>
          <w:r w:rsidR="00D0652A" w:rsidRPr="00D0652A">
            <w:rPr>
              <w:noProof/>
              <w:sz w:val="22"/>
              <w:szCs w:val="22"/>
              <w:lang w:val="es-EC"/>
            </w:rPr>
            <w:t>y</w:t>
          </w:r>
          <w:r w:rsidRPr="00D0652A">
            <w:rPr>
              <w:noProof/>
              <w:sz w:val="22"/>
              <w:szCs w:val="22"/>
              <w:lang w:val="es-EC"/>
            </w:rPr>
            <w:t xml:space="preserve"> Ramírez, F. </w:t>
          </w:r>
          <w:r w:rsidR="00A80661">
            <w:rPr>
              <w:noProof/>
              <w:sz w:val="22"/>
              <w:szCs w:val="22"/>
              <w:lang w:val="es-EC"/>
            </w:rPr>
            <w:t>(</w:t>
          </w:r>
          <w:r w:rsidRPr="00D0652A">
            <w:rPr>
              <w:noProof/>
              <w:sz w:val="22"/>
              <w:szCs w:val="22"/>
              <w:lang w:val="es-EC"/>
            </w:rPr>
            <w:t>2009</w:t>
          </w:r>
          <w:r w:rsidR="00A80661">
            <w:rPr>
              <w:noProof/>
              <w:sz w:val="22"/>
              <w:szCs w:val="22"/>
              <w:lang w:val="es-EC"/>
            </w:rPr>
            <w:t>)</w:t>
          </w:r>
          <w:r w:rsidRPr="00D0652A">
            <w:rPr>
              <w:noProof/>
              <w:sz w:val="22"/>
              <w:szCs w:val="22"/>
              <w:lang w:val="es-EC"/>
            </w:rPr>
            <w:t xml:space="preserve"> </w:t>
          </w:r>
          <w:r w:rsidRPr="00D0652A">
            <w:rPr>
              <w:i/>
              <w:iCs/>
              <w:noProof/>
              <w:sz w:val="22"/>
              <w:szCs w:val="22"/>
              <w:lang w:val="es-EC"/>
            </w:rPr>
            <w:t>I</w:t>
          </w:r>
          <w:r w:rsidR="00F01F3B" w:rsidRPr="00D0652A">
            <w:rPr>
              <w:i/>
              <w:iCs/>
              <w:noProof/>
              <w:sz w:val="22"/>
              <w:szCs w:val="22"/>
              <w:lang w:val="es-EC"/>
            </w:rPr>
            <w:t>ncorporando la gestión del riesgo de desastres en la planificación y gestión territorial</w:t>
          </w:r>
          <w:r w:rsidRPr="00D0652A">
            <w:rPr>
              <w:i/>
              <w:iCs/>
              <w:noProof/>
              <w:sz w:val="22"/>
              <w:szCs w:val="22"/>
              <w:lang w:val="es-EC"/>
            </w:rPr>
            <w:t xml:space="preserve">. </w:t>
          </w:r>
          <w:r w:rsidRPr="00D0652A">
            <w:rPr>
              <w:noProof/>
              <w:sz w:val="22"/>
              <w:szCs w:val="22"/>
              <w:lang w:val="es-EC"/>
            </w:rPr>
            <w:t>Lima: Proyecto Apoyo a la Prevención de Desastres en la Comunidad Andina - PREDECAN.</w:t>
          </w:r>
        </w:p>
        <w:p w:rsidR="007E60DF" w:rsidRPr="00380648" w:rsidRDefault="007E60DF" w:rsidP="00D0652A">
          <w:pPr>
            <w:spacing w:after="240"/>
            <w:jc w:val="both"/>
            <w:rPr>
              <w:b/>
              <w:bCs/>
              <w:lang w:val="es-EC"/>
            </w:rPr>
          </w:pPr>
          <w:r w:rsidRPr="00D0652A">
            <w:rPr>
              <w:bCs/>
              <w:sz w:val="22"/>
              <w:szCs w:val="22"/>
            </w:rPr>
            <w:fldChar w:fldCharType="end"/>
          </w:r>
        </w:p>
      </w:sdtContent>
    </w:sdt>
    <w:sectPr w:rsidR="007E60DF" w:rsidRPr="00380648" w:rsidSect="008C3ECA">
      <w:headerReference w:type="even" r:id="rId21"/>
      <w:headerReference w:type="default" r:id="rId22"/>
      <w:footerReference w:type="even" r:id="rId23"/>
      <w:footerReference w:type="default" r:id="rId24"/>
      <w:headerReference w:type="first" r:id="rId25"/>
      <w:footerReference w:type="first" r:id="rId26"/>
      <w:footnotePr>
        <w:numFmt w:val="chicago"/>
      </w:footnotePr>
      <w:type w:val="nextColumn"/>
      <w:pgSz w:w="11907" w:h="16839" w:code="9"/>
      <w:pgMar w:top="1418" w:right="1418" w:bottom="1418" w:left="1418" w:header="907" w:footer="1253" w:gutter="0"/>
      <w:pgNumType w:start="33"/>
      <w:cols w:space="720"/>
      <w:titlePg/>
      <w:docGrid w:linePitch="360"/>
    </w:sectPr>
  </w:body>
</w:document>
</file>

<file path=word/customizations.xml><?xml version="1.0" encoding="utf-8"?>
<wne:tcg xmlns:r="http://schemas.openxmlformats.org/officeDocument/2006/relationships" xmlns:wne="http://schemas.microsoft.com/office/word/2006/wordml">
  <wne:keymaps>
    <wne:keymap wne:kcmPrimary="0431">
      <wne:macro wne:macroName="PROJECT.THISDOCUMENT.CHINESETEXT"/>
    </wne:keymap>
    <wne:keymap wne:kcmPrimary="0432">
      <wne:macro wne:macroName="PROJECT.THISDOCUMENT.ENGLISHTEXT"/>
    </wne:keymap>
  </wne:keymaps>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005B3" w:rsidRDefault="009005B3">
      <w:r>
        <w:separator/>
      </w:r>
    </w:p>
    <w:p w:rsidR="009005B3" w:rsidRDefault="009005B3"/>
  </w:endnote>
  <w:endnote w:type="continuationSeparator" w:id="0">
    <w:p w:rsidR="009005B3" w:rsidRDefault="009005B3">
      <w:r>
        <w:continuationSeparator/>
      </w:r>
    </w:p>
    <w:p w:rsidR="009005B3" w:rsidRDefault="009005B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embedRegular r:id="rId1" w:fontKey="{3B69CF4A-3EFA-4633-8BB2-4258EF212C9A}"/>
    <w:embedBold r:id="rId2" w:fontKey="{D5B2ED89-E8CC-4A02-A6B2-5F76D734A349}"/>
    <w:embedItalic r:id="rId3" w:fontKey="{865995F1-3F6D-4315-A4CF-5F9F172B630C}"/>
    <w:embedBoldItalic r:id="rId4" w:fontKey="{7F2D7AB2-BB24-4546-AF58-ADF034D15FB9}"/>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Helvetica">
    <w:panose1 w:val="020B0504020202020204"/>
    <w:charset w:val="00"/>
    <w:family w:val="swiss"/>
    <w:notTrueType/>
    <w:pitch w:val="variable"/>
    <w:sig w:usb0="00000003" w:usb1="00000000" w:usb2="00000000" w:usb3="00000000" w:csb0="00000001" w:csb1="00000000"/>
  </w:font>
  <w:font w:name="Univers">
    <w:panose1 w:val="00000000000000000000"/>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Calibri">
    <w:panose1 w:val="020F0502020204030204"/>
    <w:charset w:val="00"/>
    <w:family w:val="swiss"/>
    <w:pitch w:val="variable"/>
    <w:sig w:usb0="E00002FF" w:usb1="4000ACFF" w:usb2="00000001" w:usb3="00000000" w:csb0="0000019F" w:csb1="00000000"/>
    <w:embedRegular r:id="rId5" w:subsetted="1" w:fontKey="{12E035E2-1985-464E-952C-7931E046D237}"/>
  </w:font>
  <w:font w:name="MS Mincho">
    <w:altName w:val="ＭＳ 明朝"/>
    <w:panose1 w:val="02020609040205080304"/>
    <w:charset w:val="80"/>
    <w:family w:val="roman"/>
    <w:notTrueType/>
    <w:pitch w:val="fixed"/>
    <w:sig w:usb0="00000001" w:usb1="08070000" w:usb2="00000010" w:usb3="00000000" w:csb0="00020000" w:csb1="00000000"/>
  </w:font>
  <w:font w:name="MinionPro-Regular">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embedRegular r:id="rId6" w:subsetted="1" w:fontKey="{8B40AF5E-31B8-4B36-8C85-78061D9CF80E}"/>
    <w:embedItalic r:id="rId7" w:subsetted="1" w:fontKey="{2CA236B5-D2EB-4383-9566-4DBEADD415D1}"/>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9" w:rsidRPr="008C3ECA" w:rsidRDefault="008C3ECA" w:rsidP="008C3ECA">
    <w:pPr>
      <w:pStyle w:val="Piedepgina"/>
      <w:jc w:val="center"/>
      <w:rPr>
        <w:sz w:val="20"/>
      </w:rPr>
    </w:pPr>
    <w:r w:rsidRPr="008C3ECA">
      <w:rPr>
        <w:sz w:val="20"/>
      </w:rPr>
      <w:t>Revista Geoespacial (2019)</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9" w:rsidRPr="008C3ECA" w:rsidRDefault="008C3ECA" w:rsidP="008C3ECA">
    <w:pPr>
      <w:pStyle w:val="Piedepgina"/>
      <w:jc w:val="center"/>
      <w:rPr>
        <w:sz w:val="20"/>
      </w:rPr>
    </w:pPr>
    <w:r w:rsidRPr="008C3ECA">
      <w:rPr>
        <w:sz w:val="20"/>
      </w:rPr>
      <w:t>Revista GEOESPACIAL (2019)</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9" w:rsidRPr="008C3ECA" w:rsidRDefault="008C3ECA" w:rsidP="008C3ECA">
    <w:pPr>
      <w:pStyle w:val="Piedepgina"/>
      <w:jc w:val="center"/>
      <w:rPr>
        <w:sz w:val="20"/>
      </w:rPr>
    </w:pPr>
    <w:r w:rsidRPr="008C3ECA">
      <w:rPr>
        <w:sz w:val="20"/>
      </w:rPr>
      <w:t>Revista GEOESPACIAL (2019)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005B3" w:rsidRDefault="009005B3">
      <w:pPr>
        <w:pStyle w:val="Piedepgina"/>
        <w:rPr>
          <w:lang w:val="en-GB"/>
        </w:rPr>
      </w:pPr>
      <w:r w:rsidRPr="00BA385B">
        <w:rPr>
          <w:lang w:val="es-EC" w:eastAsia="es-EC"/>
        </w:rPr>
        <w:drawing>
          <wp:inline distT="0" distB="0" distL="0" distR="0">
            <wp:extent cx="561975" cy="19050"/>
            <wp:effectExtent l="0" t="0" r="0" b="0"/>
            <wp:docPr id="1" name="Picture 2" descr="Descripción: 3pc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ción: 3pclin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975" cy="19050"/>
                    </a:xfrm>
                    <a:prstGeom prst="rect">
                      <a:avLst/>
                    </a:prstGeom>
                    <a:noFill/>
                    <a:ln>
                      <a:noFill/>
                    </a:ln>
                  </pic:spPr>
                </pic:pic>
              </a:graphicData>
            </a:graphic>
          </wp:inline>
        </w:drawing>
      </w:r>
    </w:p>
    <w:p w:rsidR="009005B3" w:rsidRDefault="009005B3"/>
  </w:footnote>
  <w:footnote w:type="continuationSeparator" w:id="0">
    <w:p w:rsidR="009005B3" w:rsidRDefault="009005B3">
      <w:r>
        <w:continuationSeparator/>
      </w:r>
    </w:p>
    <w:p w:rsidR="009005B3" w:rsidRDefault="009005B3"/>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E45" w:rsidRPr="00BD3E45" w:rsidRDefault="00BD3E45" w:rsidP="00BD3E45">
    <w:pPr>
      <w:pStyle w:val="Encabezado"/>
      <w:tabs>
        <w:tab w:val="clear" w:pos="9356"/>
        <w:tab w:val="right" w:pos="9071"/>
      </w:tabs>
      <w:jc w:val="both"/>
      <w:rPr>
        <w:i w:val="0"/>
        <w:sz w:val="20"/>
      </w:rPr>
    </w:pPr>
    <w:r w:rsidRPr="00BD3E45">
      <w:rPr>
        <w:sz w:val="20"/>
      </w:rPr>
      <w:t>Ushiña</w:t>
    </w:r>
    <w:r>
      <w:rPr>
        <w:sz w:val="20"/>
      </w:rPr>
      <w:tab/>
    </w:r>
    <w:r>
      <w:rPr>
        <w:sz w:val="20"/>
      </w:rPr>
      <w:tab/>
    </w:r>
    <w:r w:rsidRPr="00BD3E45">
      <w:rPr>
        <w:sz w:val="20"/>
      </w:rPr>
      <w:t xml:space="preserve">  </w:t>
    </w:r>
    <w:r w:rsidRPr="00BD3E45">
      <w:rPr>
        <w:i w:val="0"/>
        <w:sz w:val="20"/>
      </w:rPr>
      <w:t>Pag.│</w:t>
    </w:r>
    <w:sdt>
      <w:sdtPr>
        <w:rPr>
          <w:i w:val="0"/>
          <w:sz w:val="20"/>
        </w:rPr>
        <w:id w:val="-248811212"/>
        <w:docPartObj>
          <w:docPartGallery w:val="Page Numbers (Top of Page)"/>
          <w:docPartUnique/>
        </w:docPartObj>
      </w:sdtPr>
      <w:sdtEndPr/>
      <w:sdtContent>
        <w:r w:rsidRPr="00BD3E45">
          <w:rPr>
            <w:i w:val="0"/>
            <w:sz w:val="20"/>
          </w:rPr>
          <w:fldChar w:fldCharType="begin"/>
        </w:r>
        <w:r w:rsidRPr="00BD3E45">
          <w:rPr>
            <w:i w:val="0"/>
            <w:sz w:val="20"/>
          </w:rPr>
          <w:instrText>PAGE   \* MERGEFORMAT</w:instrText>
        </w:r>
        <w:r w:rsidRPr="00BD3E45">
          <w:rPr>
            <w:i w:val="0"/>
            <w:sz w:val="20"/>
          </w:rPr>
          <w:fldChar w:fldCharType="separate"/>
        </w:r>
        <w:r w:rsidR="00A10D6E" w:rsidRPr="00A10D6E">
          <w:rPr>
            <w:i w:val="0"/>
            <w:sz w:val="20"/>
            <w:lang w:val="es-ES"/>
          </w:rPr>
          <w:t>52</w:t>
        </w:r>
        <w:r w:rsidRPr="00BD3E45">
          <w:rPr>
            <w:i w:val="0"/>
            <w:sz w:val="20"/>
          </w:rPr>
          <w:fldChar w:fldCharType="end"/>
        </w:r>
      </w:sdtContent>
    </w:sdt>
  </w:p>
  <w:p w:rsidR="00D0652A" w:rsidRDefault="00D0652A">
    <w:pPr>
      <w:pStyle w:val="Encabezado"/>
      <w:tabs>
        <w:tab w:val="center" w:pos="4920"/>
      </w:tabs>
      <w:spacing w:line="200" w:lineRule="exact"/>
      <w:rPr>
        <w:i w:val="0"/>
        <w:iC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D3E45" w:rsidRPr="00BD3E45" w:rsidRDefault="00BD3E45" w:rsidP="00BD3E45">
    <w:pPr>
      <w:pStyle w:val="Encabezado"/>
      <w:tabs>
        <w:tab w:val="clear" w:pos="9356"/>
        <w:tab w:val="right" w:pos="9071"/>
      </w:tabs>
      <w:jc w:val="both"/>
      <w:rPr>
        <w:sz w:val="20"/>
      </w:rPr>
    </w:pPr>
    <w:r w:rsidRPr="00BD3E45">
      <w:rPr>
        <w:sz w:val="20"/>
      </w:rPr>
      <w:t>Aplicación de herramientas</w:t>
    </w:r>
    <w:r>
      <w:rPr>
        <w:sz w:val="20"/>
      </w:rPr>
      <w:t xml:space="preserve"> de administración territorial</w:t>
    </w:r>
    <w:r>
      <w:rPr>
        <w:sz w:val="20"/>
      </w:rPr>
      <w:tab/>
    </w:r>
    <w:r>
      <w:rPr>
        <w:sz w:val="20"/>
      </w:rPr>
      <w:tab/>
      <w:t xml:space="preserve">  </w:t>
    </w:r>
    <w:r w:rsidRPr="00BD3E45">
      <w:rPr>
        <w:i w:val="0"/>
        <w:sz w:val="20"/>
      </w:rPr>
      <w:t>Pag.│</w:t>
    </w:r>
    <w:sdt>
      <w:sdtPr>
        <w:rPr>
          <w:i w:val="0"/>
          <w:sz w:val="20"/>
        </w:rPr>
        <w:id w:val="-2120754528"/>
        <w:docPartObj>
          <w:docPartGallery w:val="Page Numbers (Top of Page)"/>
          <w:docPartUnique/>
        </w:docPartObj>
      </w:sdtPr>
      <w:sdtEndPr/>
      <w:sdtContent>
        <w:r w:rsidRPr="00BD3E45">
          <w:rPr>
            <w:i w:val="0"/>
            <w:sz w:val="20"/>
          </w:rPr>
          <w:fldChar w:fldCharType="begin"/>
        </w:r>
        <w:r w:rsidRPr="00BD3E45">
          <w:rPr>
            <w:i w:val="0"/>
            <w:sz w:val="20"/>
          </w:rPr>
          <w:instrText>PAGE   \* MERGEFORMAT</w:instrText>
        </w:r>
        <w:r w:rsidRPr="00BD3E45">
          <w:rPr>
            <w:i w:val="0"/>
            <w:sz w:val="20"/>
          </w:rPr>
          <w:fldChar w:fldCharType="separate"/>
        </w:r>
        <w:r w:rsidR="00A10D6E" w:rsidRPr="00A10D6E">
          <w:rPr>
            <w:i w:val="0"/>
            <w:sz w:val="20"/>
            <w:lang w:val="es-ES"/>
          </w:rPr>
          <w:t>51</w:t>
        </w:r>
        <w:r w:rsidRPr="00BD3E45">
          <w:rPr>
            <w:i w:val="0"/>
            <w:sz w:val="20"/>
          </w:rPr>
          <w:fldChar w:fldCharType="end"/>
        </w:r>
      </w:sdtContent>
    </w:sdt>
  </w:p>
  <w:p w:rsidR="00D0652A" w:rsidRPr="008C3ECA" w:rsidRDefault="00D0652A" w:rsidP="008C3ECA">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6A79" w:rsidRPr="008C3ECA" w:rsidRDefault="00C06A79">
    <w:pPr>
      <w:pStyle w:val="Encabezado"/>
      <w:rPr>
        <w:i w:val="0"/>
        <w:sz w:val="20"/>
      </w:rPr>
    </w:pPr>
    <w:r w:rsidRPr="008C3ECA">
      <w:rPr>
        <w:i w:val="0"/>
        <w:sz w:val="20"/>
      </w:rPr>
      <w:t>Revista GEOESPACIAL</w:t>
    </w:r>
    <w:sdt>
      <w:sdtPr>
        <w:rPr>
          <w:i w:val="0"/>
          <w:sz w:val="20"/>
        </w:rPr>
        <w:id w:val="364726316"/>
        <w:docPartObj>
          <w:docPartGallery w:val="Page Numbers (Top of Page)"/>
          <w:docPartUnique/>
        </w:docPartObj>
      </w:sdtPr>
      <w:sdtEndPr/>
      <w:sdtContent>
        <w:r w:rsidRPr="008C3ECA">
          <w:rPr>
            <w:i w:val="0"/>
            <w:sz w:val="20"/>
          </w:rPr>
          <w:t xml:space="preserve"> (2019) 16/2</w:t>
        </w:r>
        <w:r w:rsidR="008C3ECA" w:rsidRPr="008C3ECA">
          <w:rPr>
            <w:i w:val="0"/>
            <w:sz w:val="20"/>
          </w:rPr>
          <w:t xml:space="preserve">: </w:t>
        </w:r>
        <w:r w:rsidR="00BD3E45">
          <w:rPr>
            <w:i w:val="0"/>
            <w:sz w:val="20"/>
          </w:rPr>
          <w:t>33</w:t>
        </w:r>
        <w:r w:rsidR="008C3ECA" w:rsidRPr="008C3ECA">
          <w:rPr>
            <w:i w:val="0"/>
            <w:sz w:val="20"/>
          </w:rPr>
          <w:t>-</w:t>
        </w:r>
        <w:r w:rsidR="00BD3E45">
          <w:rPr>
            <w:i w:val="0"/>
            <w:sz w:val="20"/>
          </w:rPr>
          <w:t>52</w:t>
        </w:r>
      </w:sdtContent>
    </w:sdt>
  </w:p>
  <w:p w:rsidR="00D0652A" w:rsidRDefault="00D0652A">
    <w:pPr>
      <w:pStyle w:val="Encabezado"/>
      <w:tabs>
        <w:tab w:val="left" w:pos="680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A2E0393"/>
    <w:multiLevelType w:val="multilevel"/>
    <w:tmpl w:val="988219DE"/>
    <w:lvl w:ilvl="0">
      <w:start w:val="1"/>
      <w:numFmt w:val="bullet"/>
      <w:pStyle w:val="Els-bulletlist"/>
      <w:lvlText w:val=""/>
      <w:lvlJc w:val="left"/>
      <w:pPr>
        <w:tabs>
          <w:tab w:val="num" w:pos="360"/>
        </w:tabs>
        <w:ind w:left="240" w:hanging="240"/>
      </w:pPr>
      <w:rPr>
        <w:rFonts w:ascii="Symbol" w:hAnsi="Symbol" w:hint="default"/>
      </w:rPr>
    </w:lvl>
    <w:lvl w:ilvl="1">
      <w:start w:val="1"/>
      <w:numFmt w:val="bullet"/>
      <w:lvlText w:val="○"/>
      <w:lvlJc w:val="left"/>
      <w:pPr>
        <w:tabs>
          <w:tab w:val="num" w:pos="600"/>
        </w:tabs>
        <w:ind w:left="480" w:hanging="240"/>
      </w:pPr>
      <w:rPr>
        <w:rFonts w:ascii="Times New Roman" w:hAnsi="Times New Roman" w:hint="default"/>
        <w:sz w:val="28"/>
      </w:rPr>
    </w:lvl>
    <w:lvl w:ilvl="2">
      <w:start w:val="1"/>
      <w:numFmt w:val="bullet"/>
      <w:lvlText w:val="–"/>
      <w:lvlJc w:val="left"/>
      <w:pPr>
        <w:tabs>
          <w:tab w:val="num" w:pos="840"/>
        </w:tabs>
        <w:ind w:left="720" w:hanging="240"/>
      </w:pPr>
      <w:rPr>
        <w:rFonts w:ascii="Times New Roman" w:hAnsi="Times New Roman" w:hint="default"/>
      </w:rPr>
    </w:lvl>
    <w:lvl w:ilvl="3">
      <w:start w:val="1"/>
      <w:numFmt w:val="none"/>
      <w:lvlText w:val="-"/>
      <w:lvlJc w:val="left"/>
      <w:pPr>
        <w:tabs>
          <w:tab w:val="num" w:pos="1080"/>
        </w:tabs>
        <w:ind w:left="960" w:hanging="240"/>
      </w:pPr>
      <w:rPr>
        <w:rFonts w:ascii="Times New Roman" w:hAnsi="Times New Roman" w:hint="default"/>
      </w:rPr>
    </w:lvl>
    <w:lvl w:ilvl="4">
      <w:start w:val="1"/>
      <w:numFmt w:val="none"/>
      <w:lvlText w:val="-"/>
      <w:lvlJc w:val="left"/>
      <w:pPr>
        <w:tabs>
          <w:tab w:val="num" w:pos="1320"/>
        </w:tabs>
        <w:ind w:left="1200" w:hanging="240"/>
      </w:pPr>
      <w:rPr>
        <w:rFonts w:ascii="Times New Roman" w:hAnsi="Times New Roman" w:hint="default"/>
      </w:rPr>
    </w:lvl>
    <w:lvl w:ilvl="5">
      <w:start w:val="1"/>
      <w:numFmt w:val="none"/>
      <w:lvlText w:val="-"/>
      <w:lvlJc w:val="left"/>
      <w:pPr>
        <w:tabs>
          <w:tab w:val="num" w:pos="1560"/>
        </w:tabs>
        <w:ind w:left="1440" w:hanging="240"/>
      </w:pPr>
      <w:rPr>
        <w:rFonts w:ascii="Times New Roman" w:hAnsi="Times New Roman" w:hint="default"/>
      </w:rPr>
    </w:lvl>
    <w:lvl w:ilvl="6">
      <w:start w:val="1"/>
      <w:numFmt w:val="none"/>
      <w:lvlText w:val="-"/>
      <w:lvlJc w:val="left"/>
      <w:pPr>
        <w:tabs>
          <w:tab w:val="num" w:pos="1800"/>
        </w:tabs>
        <w:ind w:left="1680" w:hanging="240"/>
      </w:pPr>
      <w:rPr>
        <w:rFonts w:ascii="Times New Roman" w:hAnsi="Times New Roman" w:hint="default"/>
      </w:rPr>
    </w:lvl>
    <w:lvl w:ilvl="7">
      <w:start w:val="1"/>
      <w:numFmt w:val="none"/>
      <w:lvlText w:val="-"/>
      <w:lvlJc w:val="left"/>
      <w:pPr>
        <w:tabs>
          <w:tab w:val="num" w:pos="2040"/>
        </w:tabs>
        <w:ind w:left="1920" w:hanging="240"/>
      </w:pPr>
      <w:rPr>
        <w:rFonts w:ascii="Times New Roman" w:hAnsi="Times New Roman" w:hint="default"/>
      </w:rPr>
    </w:lvl>
    <w:lvl w:ilvl="8">
      <w:start w:val="1"/>
      <w:numFmt w:val="none"/>
      <w:lvlText w:val="-"/>
      <w:lvlJc w:val="left"/>
      <w:pPr>
        <w:tabs>
          <w:tab w:val="num" w:pos="2280"/>
        </w:tabs>
        <w:ind w:left="2160" w:hanging="240"/>
      </w:pPr>
      <w:rPr>
        <w:rFonts w:ascii="Times New Roman" w:hAnsi="Times New Roman" w:hint="default"/>
      </w:rPr>
    </w:lvl>
  </w:abstractNum>
  <w:abstractNum w:abstractNumId="1">
    <w:nsid w:val="29322B9F"/>
    <w:multiLevelType w:val="multilevel"/>
    <w:tmpl w:val="1E642A78"/>
    <w:lvl w:ilvl="0">
      <w:start w:val="1"/>
      <w:numFmt w:val="upperLetter"/>
      <w:pStyle w:val="Els-appendixhead"/>
      <w:suff w:val="nothing"/>
      <w:lvlText w:val="Appendix %1. "/>
      <w:lvlJc w:val="left"/>
      <w:pPr>
        <w:ind w:left="0" w:firstLine="0"/>
      </w:pPr>
      <w:rPr>
        <w:b/>
        <w:i w:val="0"/>
      </w:rPr>
    </w:lvl>
    <w:lvl w:ilvl="1">
      <w:start w:val="1"/>
      <w:numFmt w:val="decimal"/>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2">
    <w:nsid w:val="331A266D"/>
    <w:multiLevelType w:val="hybridMultilevel"/>
    <w:tmpl w:val="D758D02E"/>
    <w:lvl w:ilvl="0" w:tplc="F8624F64">
      <w:start w:val="1"/>
      <w:numFmt w:val="bullet"/>
      <w:lvlText w:val="•"/>
      <w:lvlJc w:val="left"/>
      <w:pPr>
        <w:tabs>
          <w:tab w:val="num" w:pos="720"/>
        </w:tabs>
        <w:ind w:left="720" w:hanging="360"/>
      </w:pPr>
      <w:rPr>
        <w:rFonts w:ascii="Times New Roman" w:hAnsi="Times New Roman" w:hint="default"/>
      </w:rPr>
    </w:lvl>
    <w:lvl w:ilvl="1" w:tplc="2800D00A" w:tentative="1">
      <w:start w:val="1"/>
      <w:numFmt w:val="bullet"/>
      <w:lvlText w:val="•"/>
      <w:lvlJc w:val="left"/>
      <w:pPr>
        <w:tabs>
          <w:tab w:val="num" w:pos="1440"/>
        </w:tabs>
        <w:ind w:left="1440" w:hanging="360"/>
      </w:pPr>
      <w:rPr>
        <w:rFonts w:ascii="Times New Roman" w:hAnsi="Times New Roman" w:hint="default"/>
      </w:rPr>
    </w:lvl>
    <w:lvl w:ilvl="2" w:tplc="92B21C6E" w:tentative="1">
      <w:start w:val="1"/>
      <w:numFmt w:val="bullet"/>
      <w:lvlText w:val="•"/>
      <w:lvlJc w:val="left"/>
      <w:pPr>
        <w:tabs>
          <w:tab w:val="num" w:pos="2160"/>
        </w:tabs>
        <w:ind w:left="2160" w:hanging="360"/>
      </w:pPr>
      <w:rPr>
        <w:rFonts w:ascii="Times New Roman" w:hAnsi="Times New Roman" w:hint="default"/>
      </w:rPr>
    </w:lvl>
    <w:lvl w:ilvl="3" w:tplc="053E8FB0" w:tentative="1">
      <w:start w:val="1"/>
      <w:numFmt w:val="bullet"/>
      <w:lvlText w:val="•"/>
      <w:lvlJc w:val="left"/>
      <w:pPr>
        <w:tabs>
          <w:tab w:val="num" w:pos="2880"/>
        </w:tabs>
        <w:ind w:left="2880" w:hanging="360"/>
      </w:pPr>
      <w:rPr>
        <w:rFonts w:ascii="Times New Roman" w:hAnsi="Times New Roman" w:hint="default"/>
      </w:rPr>
    </w:lvl>
    <w:lvl w:ilvl="4" w:tplc="CA42C604" w:tentative="1">
      <w:start w:val="1"/>
      <w:numFmt w:val="bullet"/>
      <w:lvlText w:val="•"/>
      <w:lvlJc w:val="left"/>
      <w:pPr>
        <w:tabs>
          <w:tab w:val="num" w:pos="3600"/>
        </w:tabs>
        <w:ind w:left="3600" w:hanging="360"/>
      </w:pPr>
      <w:rPr>
        <w:rFonts w:ascii="Times New Roman" w:hAnsi="Times New Roman" w:hint="default"/>
      </w:rPr>
    </w:lvl>
    <w:lvl w:ilvl="5" w:tplc="3E7A2292" w:tentative="1">
      <w:start w:val="1"/>
      <w:numFmt w:val="bullet"/>
      <w:lvlText w:val="•"/>
      <w:lvlJc w:val="left"/>
      <w:pPr>
        <w:tabs>
          <w:tab w:val="num" w:pos="4320"/>
        </w:tabs>
        <w:ind w:left="4320" w:hanging="360"/>
      </w:pPr>
      <w:rPr>
        <w:rFonts w:ascii="Times New Roman" w:hAnsi="Times New Roman" w:hint="default"/>
      </w:rPr>
    </w:lvl>
    <w:lvl w:ilvl="6" w:tplc="A5AE8C02" w:tentative="1">
      <w:start w:val="1"/>
      <w:numFmt w:val="bullet"/>
      <w:lvlText w:val="•"/>
      <w:lvlJc w:val="left"/>
      <w:pPr>
        <w:tabs>
          <w:tab w:val="num" w:pos="5040"/>
        </w:tabs>
        <w:ind w:left="5040" w:hanging="360"/>
      </w:pPr>
      <w:rPr>
        <w:rFonts w:ascii="Times New Roman" w:hAnsi="Times New Roman" w:hint="default"/>
      </w:rPr>
    </w:lvl>
    <w:lvl w:ilvl="7" w:tplc="C4F80D90" w:tentative="1">
      <w:start w:val="1"/>
      <w:numFmt w:val="bullet"/>
      <w:lvlText w:val="•"/>
      <w:lvlJc w:val="left"/>
      <w:pPr>
        <w:tabs>
          <w:tab w:val="num" w:pos="5760"/>
        </w:tabs>
        <w:ind w:left="5760" w:hanging="360"/>
      </w:pPr>
      <w:rPr>
        <w:rFonts w:ascii="Times New Roman" w:hAnsi="Times New Roman" w:hint="default"/>
      </w:rPr>
    </w:lvl>
    <w:lvl w:ilvl="8" w:tplc="C43846B6" w:tentative="1">
      <w:start w:val="1"/>
      <w:numFmt w:val="bullet"/>
      <w:lvlText w:val="•"/>
      <w:lvlJc w:val="left"/>
      <w:pPr>
        <w:tabs>
          <w:tab w:val="num" w:pos="6480"/>
        </w:tabs>
        <w:ind w:left="6480" w:hanging="360"/>
      </w:pPr>
      <w:rPr>
        <w:rFonts w:ascii="Times New Roman" w:hAnsi="Times New Roman" w:hint="default"/>
      </w:rPr>
    </w:lvl>
  </w:abstractNum>
  <w:abstractNum w:abstractNumId="3">
    <w:nsid w:val="35750A66"/>
    <w:multiLevelType w:val="hybridMultilevel"/>
    <w:tmpl w:val="5A4EC32E"/>
    <w:lvl w:ilvl="0" w:tplc="300A000B">
      <w:start w:val="1"/>
      <w:numFmt w:val="bullet"/>
      <w:lvlText w:val=""/>
      <w:lvlJc w:val="left"/>
      <w:pPr>
        <w:ind w:left="787" w:hanging="360"/>
      </w:pPr>
      <w:rPr>
        <w:rFonts w:ascii="Wingdings" w:hAnsi="Wingdings" w:hint="default"/>
      </w:rPr>
    </w:lvl>
    <w:lvl w:ilvl="1" w:tplc="300A0003">
      <w:start w:val="1"/>
      <w:numFmt w:val="bullet"/>
      <w:lvlText w:val="o"/>
      <w:lvlJc w:val="left"/>
      <w:pPr>
        <w:ind w:left="1507" w:hanging="360"/>
      </w:pPr>
      <w:rPr>
        <w:rFonts w:ascii="Courier New" w:hAnsi="Courier New" w:cs="Courier New" w:hint="default"/>
      </w:rPr>
    </w:lvl>
    <w:lvl w:ilvl="2" w:tplc="300A0005">
      <w:start w:val="1"/>
      <w:numFmt w:val="bullet"/>
      <w:lvlText w:val=""/>
      <w:lvlJc w:val="left"/>
      <w:pPr>
        <w:ind w:left="2227" w:hanging="360"/>
      </w:pPr>
      <w:rPr>
        <w:rFonts w:ascii="Wingdings" w:hAnsi="Wingdings" w:hint="default"/>
      </w:rPr>
    </w:lvl>
    <w:lvl w:ilvl="3" w:tplc="300A0001">
      <w:start w:val="1"/>
      <w:numFmt w:val="bullet"/>
      <w:lvlText w:val=""/>
      <w:lvlJc w:val="left"/>
      <w:pPr>
        <w:ind w:left="2947" w:hanging="360"/>
      </w:pPr>
      <w:rPr>
        <w:rFonts w:ascii="Symbol" w:hAnsi="Symbol" w:hint="default"/>
      </w:rPr>
    </w:lvl>
    <w:lvl w:ilvl="4" w:tplc="300A0003">
      <w:start w:val="1"/>
      <w:numFmt w:val="bullet"/>
      <w:lvlText w:val="o"/>
      <w:lvlJc w:val="left"/>
      <w:pPr>
        <w:ind w:left="3667" w:hanging="360"/>
      </w:pPr>
      <w:rPr>
        <w:rFonts w:ascii="Courier New" w:hAnsi="Courier New" w:cs="Courier New" w:hint="default"/>
      </w:rPr>
    </w:lvl>
    <w:lvl w:ilvl="5" w:tplc="300A0005">
      <w:start w:val="1"/>
      <w:numFmt w:val="bullet"/>
      <w:lvlText w:val=""/>
      <w:lvlJc w:val="left"/>
      <w:pPr>
        <w:ind w:left="4387" w:hanging="360"/>
      </w:pPr>
      <w:rPr>
        <w:rFonts w:ascii="Wingdings" w:hAnsi="Wingdings" w:hint="default"/>
      </w:rPr>
    </w:lvl>
    <w:lvl w:ilvl="6" w:tplc="300A0001">
      <w:start w:val="1"/>
      <w:numFmt w:val="bullet"/>
      <w:lvlText w:val=""/>
      <w:lvlJc w:val="left"/>
      <w:pPr>
        <w:ind w:left="5107" w:hanging="360"/>
      </w:pPr>
      <w:rPr>
        <w:rFonts w:ascii="Symbol" w:hAnsi="Symbol" w:hint="default"/>
      </w:rPr>
    </w:lvl>
    <w:lvl w:ilvl="7" w:tplc="300A0003">
      <w:start w:val="1"/>
      <w:numFmt w:val="bullet"/>
      <w:lvlText w:val="o"/>
      <w:lvlJc w:val="left"/>
      <w:pPr>
        <w:ind w:left="5827" w:hanging="360"/>
      </w:pPr>
      <w:rPr>
        <w:rFonts w:ascii="Courier New" w:hAnsi="Courier New" w:cs="Courier New" w:hint="default"/>
      </w:rPr>
    </w:lvl>
    <w:lvl w:ilvl="8" w:tplc="300A0005">
      <w:start w:val="1"/>
      <w:numFmt w:val="bullet"/>
      <w:lvlText w:val=""/>
      <w:lvlJc w:val="left"/>
      <w:pPr>
        <w:ind w:left="6547" w:hanging="360"/>
      </w:pPr>
      <w:rPr>
        <w:rFonts w:ascii="Wingdings" w:hAnsi="Wingdings" w:hint="default"/>
      </w:rPr>
    </w:lvl>
  </w:abstractNum>
  <w:abstractNum w:abstractNumId="4">
    <w:nsid w:val="42F16C5A"/>
    <w:multiLevelType w:val="hybridMultilevel"/>
    <w:tmpl w:val="1354E91A"/>
    <w:lvl w:ilvl="0" w:tplc="202EE4D0">
      <w:start w:val="1"/>
      <w:numFmt w:val="bullet"/>
      <w:lvlText w:val="•"/>
      <w:lvlJc w:val="left"/>
      <w:pPr>
        <w:tabs>
          <w:tab w:val="num" w:pos="720"/>
        </w:tabs>
        <w:ind w:left="720" w:hanging="360"/>
      </w:pPr>
      <w:rPr>
        <w:rFonts w:ascii="Times New Roman" w:hAnsi="Times New Roman" w:hint="default"/>
      </w:rPr>
    </w:lvl>
    <w:lvl w:ilvl="1" w:tplc="B30AFD4C" w:tentative="1">
      <w:start w:val="1"/>
      <w:numFmt w:val="bullet"/>
      <w:lvlText w:val="•"/>
      <w:lvlJc w:val="left"/>
      <w:pPr>
        <w:tabs>
          <w:tab w:val="num" w:pos="1440"/>
        </w:tabs>
        <w:ind w:left="1440" w:hanging="360"/>
      </w:pPr>
      <w:rPr>
        <w:rFonts w:ascii="Times New Roman" w:hAnsi="Times New Roman" w:hint="default"/>
      </w:rPr>
    </w:lvl>
    <w:lvl w:ilvl="2" w:tplc="D06EC77A" w:tentative="1">
      <w:start w:val="1"/>
      <w:numFmt w:val="bullet"/>
      <w:lvlText w:val="•"/>
      <w:lvlJc w:val="left"/>
      <w:pPr>
        <w:tabs>
          <w:tab w:val="num" w:pos="2160"/>
        </w:tabs>
        <w:ind w:left="2160" w:hanging="360"/>
      </w:pPr>
      <w:rPr>
        <w:rFonts w:ascii="Times New Roman" w:hAnsi="Times New Roman" w:hint="default"/>
      </w:rPr>
    </w:lvl>
    <w:lvl w:ilvl="3" w:tplc="3F3C6E64" w:tentative="1">
      <w:start w:val="1"/>
      <w:numFmt w:val="bullet"/>
      <w:lvlText w:val="•"/>
      <w:lvlJc w:val="left"/>
      <w:pPr>
        <w:tabs>
          <w:tab w:val="num" w:pos="2880"/>
        </w:tabs>
        <w:ind w:left="2880" w:hanging="360"/>
      </w:pPr>
      <w:rPr>
        <w:rFonts w:ascii="Times New Roman" w:hAnsi="Times New Roman" w:hint="default"/>
      </w:rPr>
    </w:lvl>
    <w:lvl w:ilvl="4" w:tplc="891C6812" w:tentative="1">
      <w:start w:val="1"/>
      <w:numFmt w:val="bullet"/>
      <w:lvlText w:val="•"/>
      <w:lvlJc w:val="left"/>
      <w:pPr>
        <w:tabs>
          <w:tab w:val="num" w:pos="3600"/>
        </w:tabs>
        <w:ind w:left="3600" w:hanging="360"/>
      </w:pPr>
      <w:rPr>
        <w:rFonts w:ascii="Times New Roman" w:hAnsi="Times New Roman" w:hint="default"/>
      </w:rPr>
    </w:lvl>
    <w:lvl w:ilvl="5" w:tplc="D4EE543C" w:tentative="1">
      <w:start w:val="1"/>
      <w:numFmt w:val="bullet"/>
      <w:lvlText w:val="•"/>
      <w:lvlJc w:val="left"/>
      <w:pPr>
        <w:tabs>
          <w:tab w:val="num" w:pos="4320"/>
        </w:tabs>
        <w:ind w:left="4320" w:hanging="360"/>
      </w:pPr>
      <w:rPr>
        <w:rFonts w:ascii="Times New Roman" w:hAnsi="Times New Roman" w:hint="default"/>
      </w:rPr>
    </w:lvl>
    <w:lvl w:ilvl="6" w:tplc="02E20B7E" w:tentative="1">
      <w:start w:val="1"/>
      <w:numFmt w:val="bullet"/>
      <w:lvlText w:val="•"/>
      <w:lvlJc w:val="left"/>
      <w:pPr>
        <w:tabs>
          <w:tab w:val="num" w:pos="5040"/>
        </w:tabs>
        <w:ind w:left="5040" w:hanging="360"/>
      </w:pPr>
      <w:rPr>
        <w:rFonts w:ascii="Times New Roman" w:hAnsi="Times New Roman" w:hint="default"/>
      </w:rPr>
    </w:lvl>
    <w:lvl w:ilvl="7" w:tplc="640EC532" w:tentative="1">
      <w:start w:val="1"/>
      <w:numFmt w:val="bullet"/>
      <w:lvlText w:val="•"/>
      <w:lvlJc w:val="left"/>
      <w:pPr>
        <w:tabs>
          <w:tab w:val="num" w:pos="5760"/>
        </w:tabs>
        <w:ind w:left="5760" w:hanging="360"/>
      </w:pPr>
      <w:rPr>
        <w:rFonts w:ascii="Times New Roman" w:hAnsi="Times New Roman" w:hint="default"/>
      </w:rPr>
    </w:lvl>
    <w:lvl w:ilvl="8" w:tplc="B16E3CCC" w:tentative="1">
      <w:start w:val="1"/>
      <w:numFmt w:val="bullet"/>
      <w:lvlText w:val="•"/>
      <w:lvlJc w:val="left"/>
      <w:pPr>
        <w:tabs>
          <w:tab w:val="num" w:pos="6480"/>
        </w:tabs>
        <w:ind w:left="6480" w:hanging="360"/>
      </w:pPr>
      <w:rPr>
        <w:rFonts w:ascii="Times New Roman" w:hAnsi="Times New Roman" w:hint="default"/>
      </w:rPr>
    </w:lvl>
  </w:abstractNum>
  <w:abstractNum w:abstractNumId="5">
    <w:nsid w:val="527E7170"/>
    <w:multiLevelType w:val="multilevel"/>
    <w:tmpl w:val="A282E7EA"/>
    <w:lvl w:ilvl="0">
      <w:start w:val="1"/>
      <w:numFmt w:val="decimal"/>
      <w:pStyle w:val="Els-numlist"/>
      <w:lvlText w:val="%1."/>
      <w:lvlJc w:val="left"/>
      <w:pPr>
        <w:tabs>
          <w:tab w:val="num" w:pos="360"/>
        </w:tabs>
        <w:ind w:left="240" w:hanging="240"/>
      </w:pPr>
    </w:lvl>
    <w:lvl w:ilvl="1">
      <w:start w:val="1"/>
      <w:numFmt w:val="decimal"/>
      <w:lvlText w:val="%1.%2."/>
      <w:lvlJc w:val="left"/>
      <w:pPr>
        <w:tabs>
          <w:tab w:val="num" w:pos="600"/>
        </w:tabs>
        <w:ind w:left="480" w:hanging="240"/>
      </w:pPr>
    </w:lvl>
    <w:lvl w:ilvl="2">
      <w:start w:val="1"/>
      <w:numFmt w:val="decimal"/>
      <w:lvlText w:val="%1.%2.%3."/>
      <w:lvlJc w:val="left"/>
      <w:pPr>
        <w:tabs>
          <w:tab w:val="num" w:pos="840"/>
        </w:tabs>
        <w:ind w:left="720" w:hanging="240"/>
      </w:pPr>
    </w:lvl>
    <w:lvl w:ilvl="3">
      <w:start w:val="1"/>
      <w:numFmt w:val="decimal"/>
      <w:lvlText w:val="%1.%2.%3.%4."/>
      <w:lvlJc w:val="left"/>
      <w:pPr>
        <w:tabs>
          <w:tab w:val="num" w:pos="1080"/>
        </w:tabs>
        <w:ind w:left="960" w:hanging="240"/>
      </w:pPr>
    </w:lvl>
    <w:lvl w:ilvl="4">
      <w:start w:val="1"/>
      <w:numFmt w:val="decimal"/>
      <w:lvlText w:val="%1.%2.%3.%4.%5."/>
      <w:lvlJc w:val="left"/>
      <w:pPr>
        <w:tabs>
          <w:tab w:val="num" w:pos="1320"/>
        </w:tabs>
        <w:ind w:left="1200" w:hanging="240"/>
      </w:pPr>
    </w:lvl>
    <w:lvl w:ilvl="5">
      <w:start w:val="1"/>
      <w:numFmt w:val="decimal"/>
      <w:lvlText w:val="%1.%2.%3.%4.%5.%6."/>
      <w:lvlJc w:val="left"/>
      <w:pPr>
        <w:tabs>
          <w:tab w:val="num" w:pos="1560"/>
        </w:tabs>
        <w:ind w:left="1440" w:hanging="240"/>
      </w:pPr>
    </w:lvl>
    <w:lvl w:ilvl="6">
      <w:start w:val="1"/>
      <w:numFmt w:val="decimal"/>
      <w:lvlText w:val="%1.%2.%3.%4.%5.%6.%7."/>
      <w:lvlJc w:val="left"/>
      <w:pPr>
        <w:tabs>
          <w:tab w:val="num" w:pos="1800"/>
        </w:tabs>
        <w:ind w:left="1680" w:hanging="240"/>
      </w:pPr>
    </w:lvl>
    <w:lvl w:ilvl="7">
      <w:start w:val="1"/>
      <w:numFmt w:val="decimal"/>
      <w:lvlText w:val="%1.%2.%3.%4.%5.%6.%7.%8."/>
      <w:lvlJc w:val="left"/>
      <w:pPr>
        <w:tabs>
          <w:tab w:val="num" w:pos="2040"/>
        </w:tabs>
        <w:ind w:left="1920" w:hanging="240"/>
      </w:pPr>
    </w:lvl>
    <w:lvl w:ilvl="8">
      <w:start w:val="1"/>
      <w:numFmt w:val="decimal"/>
      <w:lvlText w:val="%1.%2.%3.%4.%5.%6.%7.%8.%9."/>
      <w:lvlJc w:val="left"/>
      <w:pPr>
        <w:tabs>
          <w:tab w:val="num" w:pos="2280"/>
        </w:tabs>
        <w:ind w:left="2160" w:hanging="240"/>
      </w:pPr>
    </w:lvl>
  </w:abstractNum>
  <w:abstractNum w:abstractNumId="6">
    <w:nsid w:val="52CA544A"/>
    <w:multiLevelType w:val="singleLevel"/>
    <w:tmpl w:val="987C499A"/>
    <w:lvl w:ilvl="0">
      <w:start w:val="1"/>
      <w:numFmt w:val="decimal"/>
      <w:pStyle w:val="references"/>
      <w:lvlText w:val="[%1]"/>
      <w:lvlJc w:val="left"/>
      <w:pPr>
        <w:tabs>
          <w:tab w:val="num" w:pos="360"/>
        </w:tabs>
        <w:ind w:left="360" w:hanging="360"/>
      </w:pPr>
      <w:rPr>
        <w:rFonts w:ascii="Times New Roman" w:hAnsi="Times New Roman" w:cs="Times New Roman" w:hint="default"/>
        <w:b w:val="0"/>
        <w:bCs w:val="0"/>
        <w:i w:val="0"/>
        <w:iCs w:val="0"/>
        <w:sz w:val="16"/>
        <w:szCs w:val="16"/>
      </w:rPr>
    </w:lvl>
  </w:abstractNum>
  <w:abstractNum w:abstractNumId="7">
    <w:nsid w:val="5E827A20"/>
    <w:multiLevelType w:val="multilevel"/>
    <w:tmpl w:val="931E524C"/>
    <w:lvl w:ilvl="0">
      <w:start w:val="1"/>
      <w:numFmt w:val="upperLetter"/>
      <w:suff w:val="nothing"/>
      <w:lvlText w:val="Appendix %1. "/>
      <w:lvlJc w:val="left"/>
      <w:pPr>
        <w:ind w:left="0" w:firstLine="0"/>
      </w:pPr>
      <w:rPr>
        <w:b/>
        <w:i w:val="0"/>
      </w:rPr>
    </w:lvl>
    <w:lvl w:ilvl="1">
      <w:start w:val="1"/>
      <w:numFmt w:val="decimal"/>
      <w:pStyle w:val="Els-appendixsubhead"/>
      <w:suff w:val="nothing"/>
      <w:lvlText w:val="%1.%2. "/>
      <w:lvlJc w:val="left"/>
      <w:pPr>
        <w:ind w:left="0" w:firstLine="0"/>
      </w:pPr>
      <w:rPr>
        <w:rFonts w:ascii="Times New Roman" w:hAnsi="Times New Roman" w:hint="default"/>
        <w:b w:val="0"/>
        <w:i/>
        <w:sz w:val="20"/>
      </w:rPr>
    </w:lvl>
    <w:lvl w:ilvl="2">
      <w:start w:val="1"/>
      <w:numFmt w:val="none"/>
      <w:lvlText w:val=""/>
      <w:lvlJc w:val="left"/>
      <w:pPr>
        <w:tabs>
          <w:tab w:val="num" w:pos="360"/>
        </w:tabs>
        <w:ind w:left="0" w:firstLine="0"/>
      </w:pPr>
    </w:lvl>
    <w:lvl w:ilvl="3">
      <w:start w:val="1"/>
      <w:numFmt w:val="none"/>
      <w:lvlText w:val=""/>
      <w:lvlJc w:val="right"/>
      <w:pPr>
        <w:tabs>
          <w:tab w:val="num" w:pos="360"/>
        </w:tabs>
        <w:ind w:left="0" w:firstLine="0"/>
      </w:pPr>
    </w:lvl>
    <w:lvl w:ilvl="4">
      <w:start w:val="1"/>
      <w:numFmt w:val="none"/>
      <w:lvlText w:val=""/>
      <w:lvlJc w:val="left"/>
      <w:pPr>
        <w:tabs>
          <w:tab w:val="num" w:pos="360"/>
        </w:tabs>
        <w:ind w:left="0" w:firstLine="0"/>
      </w:pPr>
    </w:lvl>
    <w:lvl w:ilvl="5">
      <w:start w:val="1"/>
      <w:numFmt w:val="none"/>
      <w:lvlText w:val=""/>
      <w:lvlJc w:val="left"/>
      <w:pPr>
        <w:tabs>
          <w:tab w:val="num" w:pos="360"/>
        </w:tabs>
        <w:ind w:left="0" w:firstLine="0"/>
      </w:pPr>
    </w:lvl>
    <w:lvl w:ilvl="6">
      <w:start w:val="1"/>
      <w:numFmt w:val="none"/>
      <w:lvlText w:val=""/>
      <w:lvlJc w:val="left"/>
      <w:pPr>
        <w:tabs>
          <w:tab w:val="num" w:pos="360"/>
        </w:tabs>
        <w:ind w:left="0" w:firstLine="0"/>
      </w:pPr>
    </w:lvl>
    <w:lvl w:ilvl="7">
      <w:start w:val="1"/>
      <w:numFmt w:val="none"/>
      <w:lvlText w:val=""/>
      <w:lvlJc w:val="left"/>
      <w:pPr>
        <w:tabs>
          <w:tab w:val="num" w:pos="360"/>
        </w:tabs>
        <w:ind w:left="0" w:firstLine="0"/>
      </w:pPr>
    </w:lvl>
    <w:lvl w:ilvl="8">
      <w:start w:val="1"/>
      <w:numFmt w:val="none"/>
      <w:lvlText w:val=""/>
      <w:lvlJc w:val="left"/>
      <w:pPr>
        <w:tabs>
          <w:tab w:val="num" w:pos="360"/>
        </w:tabs>
        <w:ind w:left="0" w:firstLine="0"/>
      </w:pPr>
    </w:lvl>
  </w:abstractNum>
  <w:abstractNum w:abstractNumId="8">
    <w:nsid w:val="69552698"/>
    <w:multiLevelType w:val="hybridMultilevel"/>
    <w:tmpl w:val="84E6E13C"/>
    <w:lvl w:ilvl="0" w:tplc="65EA4B02">
      <w:start w:val="1"/>
      <w:numFmt w:val="bullet"/>
      <w:lvlText w:val="•"/>
      <w:lvlJc w:val="left"/>
      <w:pPr>
        <w:tabs>
          <w:tab w:val="num" w:pos="720"/>
        </w:tabs>
        <w:ind w:left="720" w:hanging="360"/>
      </w:pPr>
      <w:rPr>
        <w:rFonts w:ascii="Times New Roman" w:hAnsi="Times New Roman" w:hint="default"/>
      </w:rPr>
    </w:lvl>
    <w:lvl w:ilvl="1" w:tplc="F4D8CC8A" w:tentative="1">
      <w:start w:val="1"/>
      <w:numFmt w:val="bullet"/>
      <w:lvlText w:val="•"/>
      <w:lvlJc w:val="left"/>
      <w:pPr>
        <w:tabs>
          <w:tab w:val="num" w:pos="1440"/>
        </w:tabs>
        <w:ind w:left="1440" w:hanging="360"/>
      </w:pPr>
      <w:rPr>
        <w:rFonts w:ascii="Times New Roman" w:hAnsi="Times New Roman" w:hint="default"/>
      </w:rPr>
    </w:lvl>
    <w:lvl w:ilvl="2" w:tplc="5934A380" w:tentative="1">
      <w:start w:val="1"/>
      <w:numFmt w:val="bullet"/>
      <w:lvlText w:val="•"/>
      <w:lvlJc w:val="left"/>
      <w:pPr>
        <w:tabs>
          <w:tab w:val="num" w:pos="2160"/>
        </w:tabs>
        <w:ind w:left="2160" w:hanging="360"/>
      </w:pPr>
      <w:rPr>
        <w:rFonts w:ascii="Times New Roman" w:hAnsi="Times New Roman" w:hint="default"/>
      </w:rPr>
    </w:lvl>
    <w:lvl w:ilvl="3" w:tplc="0D7EE9E6" w:tentative="1">
      <w:start w:val="1"/>
      <w:numFmt w:val="bullet"/>
      <w:lvlText w:val="•"/>
      <w:lvlJc w:val="left"/>
      <w:pPr>
        <w:tabs>
          <w:tab w:val="num" w:pos="2880"/>
        </w:tabs>
        <w:ind w:left="2880" w:hanging="360"/>
      </w:pPr>
      <w:rPr>
        <w:rFonts w:ascii="Times New Roman" w:hAnsi="Times New Roman" w:hint="default"/>
      </w:rPr>
    </w:lvl>
    <w:lvl w:ilvl="4" w:tplc="C4F8F82C" w:tentative="1">
      <w:start w:val="1"/>
      <w:numFmt w:val="bullet"/>
      <w:lvlText w:val="•"/>
      <w:lvlJc w:val="left"/>
      <w:pPr>
        <w:tabs>
          <w:tab w:val="num" w:pos="3600"/>
        </w:tabs>
        <w:ind w:left="3600" w:hanging="360"/>
      </w:pPr>
      <w:rPr>
        <w:rFonts w:ascii="Times New Roman" w:hAnsi="Times New Roman" w:hint="default"/>
      </w:rPr>
    </w:lvl>
    <w:lvl w:ilvl="5" w:tplc="4DB2262E" w:tentative="1">
      <w:start w:val="1"/>
      <w:numFmt w:val="bullet"/>
      <w:lvlText w:val="•"/>
      <w:lvlJc w:val="left"/>
      <w:pPr>
        <w:tabs>
          <w:tab w:val="num" w:pos="4320"/>
        </w:tabs>
        <w:ind w:left="4320" w:hanging="360"/>
      </w:pPr>
      <w:rPr>
        <w:rFonts w:ascii="Times New Roman" w:hAnsi="Times New Roman" w:hint="default"/>
      </w:rPr>
    </w:lvl>
    <w:lvl w:ilvl="6" w:tplc="1BC0E696" w:tentative="1">
      <w:start w:val="1"/>
      <w:numFmt w:val="bullet"/>
      <w:lvlText w:val="•"/>
      <w:lvlJc w:val="left"/>
      <w:pPr>
        <w:tabs>
          <w:tab w:val="num" w:pos="5040"/>
        </w:tabs>
        <w:ind w:left="5040" w:hanging="360"/>
      </w:pPr>
      <w:rPr>
        <w:rFonts w:ascii="Times New Roman" w:hAnsi="Times New Roman" w:hint="default"/>
      </w:rPr>
    </w:lvl>
    <w:lvl w:ilvl="7" w:tplc="94DAFCAC" w:tentative="1">
      <w:start w:val="1"/>
      <w:numFmt w:val="bullet"/>
      <w:lvlText w:val="•"/>
      <w:lvlJc w:val="left"/>
      <w:pPr>
        <w:tabs>
          <w:tab w:val="num" w:pos="5760"/>
        </w:tabs>
        <w:ind w:left="5760" w:hanging="360"/>
      </w:pPr>
      <w:rPr>
        <w:rFonts w:ascii="Times New Roman" w:hAnsi="Times New Roman" w:hint="default"/>
      </w:rPr>
    </w:lvl>
    <w:lvl w:ilvl="8" w:tplc="ECECB568" w:tentative="1">
      <w:start w:val="1"/>
      <w:numFmt w:val="bullet"/>
      <w:lvlText w:val="•"/>
      <w:lvlJc w:val="left"/>
      <w:pPr>
        <w:tabs>
          <w:tab w:val="num" w:pos="6480"/>
        </w:tabs>
        <w:ind w:left="6480" w:hanging="360"/>
      </w:pPr>
      <w:rPr>
        <w:rFonts w:ascii="Times New Roman" w:hAnsi="Times New Roman" w:hint="default"/>
      </w:rPr>
    </w:lvl>
  </w:abstractNum>
  <w:abstractNum w:abstractNumId="9">
    <w:nsid w:val="75EA5ACB"/>
    <w:multiLevelType w:val="hybridMultilevel"/>
    <w:tmpl w:val="CC7096C8"/>
    <w:lvl w:ilvl="0" w:tplc="1BFE5F52">
      <w:start w:val="1"/>
      <w:numFmt w:val="bullet"/>
      <w:lvlText w:val="•"/>
      <w:lvlJc w:val="left"/>
      <w:pPr>
        <w:tabs>
          <w:tab w:val="num" w:pos="720"/>
        </w:tabs>
        <w:ind w:left="720" w:hanging="360"/>
      </w:pPr>
      <w:rPr>
        <w:rFonts w:ascii="Times New Roman" w:hAnsi="Times New Roman" w:hint="default"/>
      </w:rPr>
    </w:lvl>
    <w:lvl w:ilvl="1" w:tplc="27904B1E" w:tentative="1">
      <w:start w:val="1"/>
      <w:numFmt w:val="bullet"/>
      <w:lvlText w:val="•"/>
      <w:lvlJc w:val="left"/>
      <w:pPr>
        <w:tabs>
          <w:tab w:val="num" w:pos="1440"/>
        </w:tabs>
        <w:ind w:left="1440" w:hanging="360"/>
      </w:pPr>
      <w:rPr>
        <w:rFonts w:ascii="Times New Roman" w:hAnsi="Times New Roman" w:hint="default"/>
      </w:rPr>
    </w:lvl>
    <w:lvl w:ilvl="2" w:tplc="36327EC4" w:tentative="1">
      <w:start w:val="1"/>
      <w:numFmt w:val="bullet"/>
      <w:lvlText w:val="•"/>
      <w:lvlJc w:val="left"/>
      <w:pPr>
        <w:tabs>
          <w:tab w:val="num" w:pos="2160"/>
        </w:tabs>
        <w:ind w:left="2160" w:hanging="360"/>
      </w:pPr>
      <w:rPr>
        <w:rFonts w:ascii="Times New Roman" w:hAnsi="Times New Roman" w:hint="default"/>
      </w:rPr>
    </w:lvl>
    <w:lvl w:ilvl="3" w:tplc="A84853F6" w:tentative="1">
      <w:start w:val="1"/>
      <w:numFmt w:val="bullet"/>
      <w:lvlText w:val="•"/>
      <w:lvlJc w:val="left"/>
      <w:pPr>
        <w:tabs>
          <w:tab w:val="num" w:pos="2880"/>
        </w:tabs>
        <w:ind w:left="2880" w:hanging="360"/>
      </w:pPr>
      <w:rPr>
        <w:rFonts w:ascii="Times New Roman" w:hAnsi="Times New Roman" w:hint="default"/>
      </w:rPr>
    </w:lvl>
    <w:lvl w:ilvl="4" w:tplc="94D64A02" w:tentative="1">
      <w:start w:val="1"/>
      <w:numFmt w:val="bullet"/>
      <w:lvlText w:val="•"/>
      <w:lvlJc w:val="left"/>
      <w:pPr>
        <w:tabs>
          <w:tab w:val="num" w:pos="3600"/>
        </w:tabs>
        <w:ind w:left="3600" w:hanging="360"/>
      </w:pPr>
      <w:rPr>
        <w:rFonts w:ascii="Times New Roman" w:hAnsi="Times New Roman" w:hint="default"/>
      </w:rPr>
    </w:lvl>
    <w:lvl w:ilvl="5" w:tplc="A8124F08" w:tentative="1">
      <w:start w:val="1"/>
      <w:numFmt w:val="bullet"/>
      <w:lvlText w:val="•"/>
      <w:lvlJc w:val="left"/>
      <w:pPr>
        <w:tabs>
          <w:tab w:val="num" w:pos="4320"/>
        </w:tabs>
        <w:ind w:left="4320" w:hanging="360"/>
      </w:pPr>
      <w:rPr>
        <w:rFonts w:ascii="Times New Roman" w:hAnsi="Times New Roman" w:hint="default"/>
      </w:rPr>
    </w:lvl>
    <w:lvl w:ilvl="6" w:tplc="5D0AE26C" w:tentative="1">
      <w:start w:val="1"/>
      <w:numFmt w:val="bullet"/>
      <w:lvlText w:val="•"/>
      <w:lvlJc w:val="left"/>
      <w:pPr>
        <w:tabs>
          <w:tab w:val="num" w:pos="5040"/>
        </w:tabs>
        <w:ind w:left="5040" w:hanging="360"/>
      </w:pPr>
      <w:rPr>
        <w:rFonts w:ascii="Times New Roman" w:hAnsi="Times New Roman" w:hint="default"/>
      </w:rPr>
    </w:lvl>
    <w:lvl w:ilvl="7" w:tplc="C71400C4" w:tentative="1">
      <w:start w:val="1"/>
      <w:numFmt w:val="bullet"/>
      <w:lvlText w:val="•"/>
      <w:lvlJc w:val="left"/>
      <w:pPr>
        <w:tabs>
          <w:tab w:val="num" w:pos="5760"/>
        </w:tabs>
        <w:ind w:left="5760" w:hanging="360"/>
      </w:pPr>
      <w:rPr>
        <w:rFonts w:ascii="Times New Roman" w:hAnsi="Times New Roman" w:hint="default"/>
      </w:rPr>
    </w:lvl>
    <w:lvl w:ilvl="8" w:tplc="B4BC205E" w:tentative="1">
      <w:start w:val="1"/>
      <w:numFmt w:val="bullet"/>
      <w:lvlText w:val="•"/>
      <w:lvlJc w:val="left"/>
      <w:pPr>
        <w:tabs>
          <w:tab w:val="num" w:pos="6480"/>
        </w:tabs>
        <w:ind w:left="6480" w:hanging="360"/>
      </w:pPr>
      <w:rPr>
        <w:rFonts w:ascii="Times New Roman" w:hAnsi="Times New Roman" w:hint="default"/>
      </w:rPr>
    </w:lvl>
  </w:abstractNum>
  <w:abstractNum w:abstractNumId="10">
    <w:nsid w:val="7CD255F0"/>
    <w:multiLevelType w:val="hybridMultilevel"/>
    <w:tmpl w:val="1BBC66D6"/>
    <w:lvl w:ilvl="0" w:tplc="BB425798">
      <w:start w:val="1"/>
      <w:numFmt w:val="lowerLetter"/>
      <w:pStyle w:val="tablefootnote"/>
      <w:lvlText w:val="%1."/>
      <w:lvlJc w:val="right"/>
      <w:pPr>
        <w:ind w:left="749" w:hanging="360"/>
      </w:pPr>
      <w:rPr>
        <w:rFonts w:ascii="Times New Roman" w:hAnsi="Times New Roman" w:hint="default"/>
        <w:b w:val="0"/>
        <w:i w:val="0"/>
        <w:caps w:val="0"/>
        <w:strike w:val="0"/>
        <w:dstrike w:val="0"/>
        <w:vanish w:val="0"/>
        <w:color w:val="auto"/>
        <w:spacing w:val="0"/>
        <w:w w:val="100"/>
        <w:kern w:val="0"/>
        <w:position w:val="0"/>
        <w:sz w:val="16"/>
        <w:vertAlign w:val="superscript"/>
      </w:rPr>
    </w:lvl>
    <w:lvl w:ilvl="1" w:tplc="04090019" w:tentative="1">
      <w:start w:val="1"/>
      <w:numFmt w:val="lowerLetter"/>
      <w:lvlText w:val="%2."/>
      <w:lvlJc w:val="left"/>
      <w:pPr>
        <w:ind w:left="1469" w:hanging="360"/>
      </w:pPr>
    </w:lvl>
    <w:lvl w:ilvl="2" w:tplc="0409001B" w:tentative="1">
      <w:start w:val="1"/>
      <w:numFmt w:val="lowerRoman"/>
      <w:lvlText w:val="%3."/>
      <w:lvlJc w:val="right"/>
      <w:pPr>
        <w:ind w:left="2189" w:hanging="180"/>
      </w:pPr>
    </w:lvl>
    <w:lvl w:ilvl="3" w:tplc="0409000F" w:tentative="1">
      <w:start w:val="1"/>
      <w:numFmt w:val="decimal"/>
      <w:lvlText w:val="%4."/>
      <w:lvlJc w:val="left"/>
      <w:pPr>
        <w:ind w:left="2909" w:hanging="360"/>
      </w:pPr>
    </w:lvl>
    <w:lvl w:ilvl="4" w:tplc="04090019" w:tentative="1">
      <w:start w:val="1"/>
      <w:numFmt w:val="lowerLetter"/>
      <w:lvlText w:val="%5."/>
      <w:lvlJc w:val="left"/>
      <w:pPr>
        <w:ind w:left="3629" w:hanging="360"/>
      </w:pPr>
    </w:lvl>
    <w:lvl w:ilvl="5" w:tplc="0409001B" w:tentative="1">
      <w:start w:val="1"/>
      <w:numFmt w:val="lowerRoman"/>
      <w:lvlText w:val="%6."/>
      <w:lvlJc w:val="right"/>
      <w:pPr>
        <w:ind w:left="4349" w:hanging="180"/>
      </w:pPr>
    </w:lvl>
    <w:lvl w:ilvl="6" w:tplc="0409000F" w:tentative="1">
      <w:start w:val="1"/>
      <w:numFmt w:val="decimal"/>
      <w:lvlText w:val="%7."/>
      <w:lvlJc w:val="left"/>
      <w:pPr>
        <w:ind w:left="5069" w:hanging="360"/>
      </w:pPr>
    </w:lvl>
    <w:lvl w:ilvl="7" w:tplc="04090019" w:tentative="1">
      <w:start w:val="1"/>
      <w:numFmt w:val="lowerLetter"/>
      <w:lvlText w:val="%8."/>
      <w:lvlJc w:val="left"/>
      <w:pPr>
        <w:ind w:left="5789" w:hanging="360"/>
      </w:pPr>
    </w:lvl>
    <w:lvl w:ilvl="8" w:tplc="0409001B" w:tentative="1">
      <w:start w:val="1"/>
      <w:numFmt w:val="lowerRoman"/>
      <w:lvlText w:val="%9."/>
      <w:lvlJc w:val="right"/>
      <w:pPr>
        <w:ind w:left="6509" w:hanging="180"/>
      </w:pPr>
    </w:lvl>
  </w:abstractNum>
  <w:num w:numId="1">
    <w:abstractNumId w:val="1"/>
  </w:num>
  <w:num w:numId="2">
    <w:abstractNumId w:val="7"/>
  </w:num>
  <w:num w:numId="3">
    <w:abstractNumId w:val="0"/>
  </w:num>
  <w:num w:numId="4">
    <w:abstractNumId w:val="5"/>
  </w:num>
  <w:num w:numId="5">
    <w:abstractNumId w:val="10"/>
  </w:num>
  <w:num w:numId="6">
    <w:abstractNumId w:val="6"/>
  </w:num>
  <w:num w:numId="7">
    <w:abstractNumId w:val="3"/>
  </w:num>
  <w:num w:numId="8">
    <w:abstractNumId w:val="4"/>
  </w:num>
  <w:num w:numId="9">
    <w:abstractNumId w:val="8"/>
  </w:num>
  <w:num w:numId="10">
    <w:abstractNumId w:val="9"/>
  </w:num>
  <w:num w:numId="11">
    <w:abstractNumId w:val="2"/>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intPostScriptOverText/>
  <w:embedTrueTypeFonts/>
  <w:embedSystemFonts/>
  <w:saveSubsetFonts/>
  <w:mirrorMargins/>
  <w:attachedTemplate r:id="rId1"/>
  <w:defaultTabStop w:val="238"/>
  <w:hyphenationZone w:val="425"/>
  <w:evenAndOddHeaders/>
  <w:drawingGridHorizontalSpacing w:val="120"/>
  <w:drawingGridVerticalSpacing w:val="120"/>
  <w:noPunctuationKerning/>
  <w:characterSpacingControl w:val="doNotCompress"/>
  <w:hdrShapeDefaults>
    <o:shapedefaults v:ext="edit" spidmax="8193"/>
  </w:hdrShapeDefaults>
  <w:footnotePr>
    <w:numFmt w:val="chicago"/>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B679C"/>
    <w:rsid w:val="0000378C"/>
    <w:rsid w:val="00016F12"/>
    <w:rsid w:val="00023B4D"/>
    <w:rsid w:val="00047C4E"/>
    <w:rsid w:val="000501B9"/>
    <w:rsid w:val="00067655"/>
    <w:rsid w:val="00070D8B"/>
    <w:rsid w:val="000751C9"/>
    <w:rsid w:val="00076708"/>
    <w:rsid w:val="00077D36"/>
    <w:rsid w:val="000805F1"/>
    <w:rsid w:val="000832AE"/>
    <w:rsid w:val="00090B58"/>
    <w:rsid w:val="00093288"/>
    <w:rsid w:val="000B2914"/>
    <w:rsid w:val="000B5B03"/>
    <w:rsid w:val="000C0220"/>
    <w:rsid w:val="000D0757"/>
    <w:rsid w:val="000D0C21"/>
    <w:rsid w:val="000D325A"/>
    <w:rsid w:val="000E15B9"/>
    <w:rsid w:val="000E631D"/>
    <w:rsid w:val="000E7ADB"/>
    <w:rsid w:val="000F47A1"/>
    <w:rsid w:val="00110E97"/>
    <w:rsid w:val="00122699"/>
    <w:rsid w:val="00124E41"/>
    <w:rsid w:val="00154EE1"/>
    <w:rsid w:val="00174EEC"/>
    <w:rsid w:val="00181A4E"/>
    <w:rsid w:val="001844AE"/>
    <w:rsid w:val="00190D60"/>
    <w:rsid w:val="00195C44"/>
    <w:rsid w:val="001A5516"/>
    <w:rsid w:val="001B0C57"/>
    <w:rsid w:val="001B40ED"/>
    <w:rsid w:val="001B7015"/>
    <w:rsid w:val="001D42A3"/>
    <w:rsid w:val="001D4A69"/>
    <w:rsid w:val="00215921"/>
    <w:rsid w:val="00224013"/>
    <w:rsid w:val="00224895"/>
    <w:rsid w:val="00242FEC"/>
    <w:rsid w:val="00247BBC"/>
    <w:rsid w:val="00257AE2"/>
    <w:rsid w:val="00260A60"/>
    <w:rsid w:val="00272FD4"/>
    <w:rsid w:val="00277F73"/>
    <w:rsid w:val="00281705"/>
    <w:rsid w:val="002831F0"/>
    <w:rsid w:val="00284871"/>
    <w:rsid w:val="002B0067"/>
    <w:rsid w:val="002B4991"/>
    <w:rsid w:val="002B6671"/>
    <w:rsid w:val="002B679C"/>
    <w:rsid w:val="002C13BC"/>
    <w:rsid w:val="002D1C9C"/>
    <w:rsid w:val="002D63ED"/>
    <w:rsid w:val="002E0603"/>
    <w:rsid w:val="002E1561"/>
    <w:rsid w:val="002F396D"/>
    <w:rsid w:val="002F4686"/>
    <w:rsid w:val="003070A0"/>
    <w:rsid w:val="0031482F"/>
    <w:rsid w:val="003169B0"/>
    <w:rsid w:val="003349A4"/>
    <w:rsid w:val="003349A9"/>
    <w:rsid w:val="00340363"/>
    <w:rsid w:val="003415DA"/>
    <w:rsid w:val="003447C1"/>
    <w:rsid w:val="003504AF"/>
    <w:rsid w:val="003520E7"/>
    <w:rsid w:val="003615C0"/>
    <w:rsid w:val="00361E35"/>
    <w:rsid w:val="0036232D"/>
    <w:rsid w:val="003732B6"/>
    <w:rsid w:val="00380648"/>
    <w:rsid w:val="00383360"/>
    <w:rsid w:val="00387917"/>
    <w:rsid w:val="00387B37"/>
    <w:rsid w:val="003900BA"/>
    <w:rsid w:val="00396372"/>
    <w:rsid w:val="00397DE7"/>
    <w:rsid w:val="003A3F60"/>
    <w:rsid w:val="003A58DB"/>
    <w:rsid w:val="003B5125"/>
    <w:rsid w:val="003B52CB"/>
    <w:rsid w:val="003B6D9E"/>
    <w:rsid w:val="003B715C"/>
    <w:rsid w:val="003B7BA4"/>
    <w:rsid w:val="003C015A"/>
    <w:rsid w:val="003D5A4A"/>
    <w:rsid w:val="003E1B66"/>
    <w:rsid w:val="003E515C"/>
    <w:rsid w:val="003E6FF0"/>
    <w:rsid w:val="003F5A5D"/>
    <w:rsid w:val="0040059B"/>
    <w:rsid w:val="004011EB"/>
    <w:rsid w:val="00417F69"/>
    <w:rsid w:val="00431D83"/>
    <w:rsid w:val="00436661"/>
    <w:rsid w:val="00437853"/>
    <w:rsid w:val="00444165"/>
    <w:rsid w:val="00451E15"/>
    <w:rsid w:val="00456EC3"/>
    <w:rsid w:val="0046362F"/>
    <w:rsid w:val="00464981"/>
    <w:rsid w:val="00470E34"/>
    <w:rsid w:val="00483DEC"/>
    <w:rsid w:val="004843F1"/>
    <w:rsid w:val="0049026C"/>
    <w:rsid w:val="0049522A"/>
    <w:rsid w:val="004A4853"/>
    <w:rsid w:val="004F0E0D"/>
    <w:rsid w:val="005044DC"/>
    <w:rsid w:val="005060DA"/>
    <w:rsid w:val="0051626A"/>
    <w:rsid w:val="005169AE"/>
    <w:rsid w:val="005252CC"/>
    <w:rsid w:val="005307E7"/>
    <w:rsid w:val="00531B1B"/>
    <w:rsid w:val="00532E26"/>
    <w:rsid w:val="00547CCB"/>
    <w:rsid w:val="00554CDD"/>
    <w:rsid w:val="00560C1F"/>
    <w:rsid w:val="00581CCF"/>
    <w:rsid w:val="00585913"/>
    <w:rsid w:val="00593398"/>
    <w:rsid w:val="00593FCC"/>
    <w:rsid w:val="005A78B2"/>
    <w:rsid w:val="005B247F"/>
    <w:rsid w:val="005B7DF7"/>
    <w:rsid w:val="005C3C44"/>
    <w:rsid w:val="005C7450"/>
    <w:rsid w:val="005D73F8"/>
    <w:rsid w:val="005E0E4D"/>
    <w:rsid w:val="005E5878"/>
    <w:rsid w:val="005E73DB"/>
    <w:rsid w:val="005F38A4"/>
    <w:rsid w:val="006022B8"/>
    <w:rsid w:val="006154F7"/>
    <w:rsid w:val="00620BDA"/>
    <w:rsid w:val="00622574"/>
    <w:rsid w:val="006230AC"/>
    <w:rsid w:val="006245DA"/>
    <w:rsid w:val="006310DE"/>
    <w:rsid w:val="006335CE"/>
    <w:rsid w:val="00645B3E"/>
    <w:rsid w:val="00647686"/>
    <w:rsid w:val="00651EAA"/>
    <w:rsid w:val="00667441"/>
    <w:rsid w:val="006700D8"/>
    <w:rsid w:val="00684663"/>
    <w:rsid w:val="006847FE"/>
    <w:rsid w:val="006A07A9"/>
    <w:rsid w:val="006A3B66"/>
    <w:rsid w:val="006A3EBB"/>
    <w:rsid w:val="006B2932"/>
    <w:rsid w:val="006B4052"/>
    <w:rsid w:val="006D56E5"/>
    <w:rsid w:val="006D7B05"/>
    <w:rsid w:val="006E3543"/>
    <w:rsid w:val="0072381D"/>
    <w:rsid w:val="00731E24"/>
    <w:rsid w:val="00736404"/>
    <w:rsid w:val="00751587"/>
    <w:rsid w:val="00757BCD"/>
    <w:rsid w:val="00763A7F"/>
    <w:rsid w:val="007652A8"/>
    <w:rsid w:val="0077042D"/>
    <w:rsid w:val="00770A98"/>
    <w:rsid w:val="00772555"/>
    <w:rsid w:val="00776D86"/>
    <w:rsid w:val="00783803"/>
    <w:rsid w:val="007A380D"/>
    <w:rsid w:val="007B37EA"/>
    <w:rsid w:val="007B4C16"/>
    <w:rsid w:val="007B57CD"/>
    <w:rsid w:val="007C2CC3"/>
    <w:rsid w:val="007C3649"/>
    <w:rsid w:val="007D084C"/>
    <w:rsid w:val="007D18A1"/>
    <w:rsid w:val="007D51B3"/>
    <w:rsid w:val="007E05C6"/>
    <w:rsid w:val="007E1E28"/>
    <w:rsid w:val="007E60DF"/>
    <w:rsid w:val="007F0838"/>
    <w:rsid w:val="00803A3C"/>
    <w:rsid w:val="00813AD6"/>
    <w:rsid w:val="00813EF1"/>
    <w:rsid w:val="00817F9B"/>
    <w:rsid w:val="00820AF3"/>
    <w:rsid w:val="008224E5"/>
    <w:rsid w:val="00823E05"/>
    <w:rsid w:val="00835BB2"/>
    <w:rsid w:val="00850CD4"/>
    <w:rsid w:val="00854128"/>
    <w:rsid w:val="00857529"/>
    <w:rsid w:val="0086206B"/>
    <w:rsid w:val="0087471A"/>
    <w:rsid w:val="008767E3"/>
    <w:rsid w:val="00882551"/>
    <w:rsid w:val="008835CB"/>
    <w:rsid w:val="00883C7A"/>
    <w:rsid w:val="00884ADE"/>
    <w:rsid w:val="008A4651"/>
    <w:rsid w:val="008A6EC7"/>
    <w:rsid w:val="008B669D"/>
    <w:rsid w:val="008C3ECA"/>
    <w:rsid w:val="008D04FC"/>
    <w:rsid w:val="008D2CB5"/>
    <w:rsid w:val="008E5E5C"/>
    <w:rsid w:val="008F15C7"/>
    <w:rsid w:val="009005B3"/>
    <w:rsid w:val="009037A1"/>
    <w:rsid w:val="00903B9B"/>
    <w:rsid w:val="00915419"/>
    <w:rsid w:val="009176EC"/>
    <w:rsid w:val="00957A79"/>
    <w:rsid w:val="00957BA2"/>
    <w:rsid w:val="009622FA"/>
    <w:rsid w:val="00966751"/>
    <w:rsid w:val="0097330C"/>
    <w:rsid w:val="00975208"/>
    <w:rsid w:val="009A0074"/>
    <w:rsid w:val="009A07EF"/>
    <w:rsid w:val="009A5C3D"/>
    <w:rsid w:val="009A5E64"/>
    <w:rsid w:val="009B10C8"/>
    <w:rsid w:val="009B1B39"/>
    <w:rsid w:val="009C32B8"/>
    <w:rsid w:val="009E3020"/>
    <w:rsid w:val="009E73F4"/>
    <w:rsid w:val="009F44D0"/>
    <w:rsid w:val="009F4ADA"/>
    <w:rsid w:val="00A0184D"/>
    <w:rsid w:val="00A10D6E"/>
    <w:rsid w:val="00A11E52"/>
    <w:rsid w:val="00A17EC2"/>
    <w:rsid w:val="00A3425A"/>
    <w:rsid w:val="00A36A73"/>
    <w:rsid w:val="00A36ED8"/>
    <w:rsid w:val="00A37446"/>
    <w:rsid w:val="00A422CF"/>
    <w:rsid w:val="00A44547"/>
    <w:rsid w:val="00A62E45"/>
    <w:rsid w:val="00A65DC6"/>
    <w:rsid w:val="00A7259F"/>
    <w:rsid w:val="00A74322"/>
    <w:rsid w:val="00A77002"/>
    <w:rsid w:val="00A77AA0"/>
    <w:rsid w:val="00A80661"/>
    <w:rsid w:val="00A8281D"/>
    <w:rsid w:val="00A9177E"/>
    <w:rsid w:val="00A96552"/>
    <w:rsid w:val="00AA25DF"/>
    <w:rsid w:val="00AA7327"/>
    <w:rsid w:val="00AC2A4B"/>
    <w:rsid w:val="00AC70AF"/>
    <w:rsid w:val="00AC79FE"/>
    <w:rsid w:val="00AD5DC9"/>
    <w:rsid w:val="00AD77E1"/>
    <w:rsid w:val="00AE1933"/>
    <w:rsid w:val="00AE7B0C"/>
    <w:rsid w:val="00AF28CD"/>
    <w:rsid w:val="00AF300C"/>
    <w:rsid w:val="00B05F3E"/>
    <w:rsid w:val="00B10C12"/>
    <w:rsid w:val="00B173FD"/>
    <w:rsid w:val="00B237FA"/>
    <w:rsid w:val="00B32D2F"/>
    <w:rsid w:val="00B37DB0"/>
    <w:rsid w:val="00B43A70"/>
    <w:rsid w:val="00B51047"/>
    <w:rsid w:val="00B5214D"/>
    <w:rsid w:val="00B52E20"/>
    <w:rsid w:val="00B54284"/>
    <w:rsid w:val="00B5453C"/>
    <w:rsid w:val="00B55503"/>
    <w:rsid w:val="00B564F4"/>
    <w:rsid w:val="00B620DB"/>
    <w:rsid w:val="00B90FFA"/>
    <w:rsid w:val="00B920D7"/>
    <w:rsid w:val="00BA0C45"/>
    <w:rsid w:val="00BA385B"/>
    <w:rsid w:val="00BB30AC"/>
    <w:rsid w:val="00BC357C"/>
    <w:rsid w:val="00BD3E45"/>
    <w:rsid w:val="00BD61F5"/>
    <w:rsid w:val="00BE5CA8"/>
    <w:rsid w:val="00BF506B"/>
    <w:rsid w:val="00C06A79"/>
    <w:rsid w:val="00C25260"/>
    <w:rsid w:val="00C30254"/>
    <w:rsid w:val="00C30323"/>
    <w:rsid w:val="00C30650"/>
    <w:rsid w:val="00C353D3"/>
    <w:rsid w:val="00C4492F"/>
    <w:rsid w:val="00C47B0A"/>
    <w:rsid w:val="00C47B0D"/>
    <w:rsid w:val="00C53962"/>
    <w:rsid w:val="00C60022"/>
    <w:rsid w:val="00C641BC"/>
    <w:rsid w:val="00C67565"/>
    <w:rsid w:val="00C70CD6"/>
    <w:rsid w:val="00C73003"/>
    <w:rsid w:val="00C73F76"/>
    <w:rsid w:val="00C74690"/>
    <w:rsid w:val="00C7482F"/>
    <w:rsid w:val="00C832CD"/>
    <w:rsid w:val="00C85A6E"/>
    <w:rsid w:val="00C85FCA"/>
    <w:rsid w:val="00CA3BD8"/>
    <w:rsid w:val="00CB0067"/>
    <w:rsid w:val="00CB43C9"/>
    <w:rsid w:val="00CC1F36"/>
    <w:rsid w:val="00CC252F"/>
    <w:rsid w:val="00CE3B47"/>
    <w:rsid w:val="00CF0C17"/>
    <w:rsid w:val="00CF2612"/>
    <w:rsid w:val="00CF3A29"/>
    <w:rsid w:val="00D05E01"/>
    <w:rsid w:val="00D0652A"/>
    <w:rsid w:val="00D322AA"/>
    <w:rsid w:val="00D32450"/>
    <w:rsid w:val="00D332C5"/>
    <w:rsid w:val="00D37A44"/>
    <w:rsid w:val="00D42E53"/>
    <w:rsid w:val="00D4692B"/>
    <w:rsid w:val="00D63355"/>
    <w:rsid w:val="00D71207"/>
    <w:rsid w:val="00D72A5B"/>
    <w:rsid w:val="00D74B45"/>
    <w:rsid w:val="00D75337"/>
    <w:rsid w:val="00D83295"/>
    <w:rsid w:val="00D93BF2"/>
    <w:rsid w:val="00D9564B"/>
    <w:rsid w:val="00D95C13"/>
    <w:rsid w:val="00D96A31"/>
    <w:rsid w:val="00DA0D0B"/>
    <w:rsid w:val="00DC12DA"/>
    <w:rsid w:val="00DC185B"/>
    <w:rsid w:val="00DF21DF"/>
    <w:rsid w:val="00DF5227"/>
    <w:rsid w:val="00E01E7D"/>
    <w:rsid w:val="00E03A3C"/>
    <w:rsid w:val="00E11CBE"/>
    <w:rsid w:val="00E26111"/>
    <w:rsid w:val="00E42EC2"/>
    <w:rsid w:val="00E46B6A"/>
    <w:rsid w:val="00E508D3"/>
    <w:rsid w:val="00E509D4"/>
    <w:rsid w:val="00E64382"/>
    <w:rsid w:val="00E65DFE"/>
    <w:rsid w:val="00E72EF0"/>
    <w:rsid w:val="00EA559C"/>
    <w:rsid w:val="00EB2960"/>
    <w:rsid w:val="00EC0C0F"/>
    <w:rsid w:val="00EC754A"/>
    <w:rsid w:val="00ED3237"/>
    <w:rsid w:val="00EE1146"/>
    <w:rsid w:val="00EF1A43"/>
    <w:rsid w:val="00EF3725"/>
    <w:rsid w:val="00F01F3B"/>
    <w:rsid w:val="00F03116"/>
    <w:rsid w:val="00F03790"/>
    <w:rsid w:val="00F06C03"/>
    <w:rsid w:val="00F21A40"/>
    <w:rsid w:val="00F34137"/>
    <w:rsid w:val="00F436C3"/>
    <w:rsid w:val="00F4535E"/>
    <w:rsid w:val="00F55541"/>
    <w:rsid w:val="00F61120"/>
    <w:rsid w:val="00F621AC"/>
    <w:rsid w:val="00F739FC"/>
    <w:rsid w:val="00F76301"/>
    <w:rsid w:val="00F8349F"/>
    <w:rsid w:val="00F936A7"/>
    <w:rsid w:val="00F95303"/>
    <w:rsid w:val="00FA3A0B"/>
    <w:rsid w:val="00FB0D07"/>
    <w:rsid w:val="00FB24E9"/>
    <w:rsid w:val="00FB358F"/>
    <w:rsid w:val="00FB5D83"/>
    <w:rsid w:val="00FB7D61"/>
    <w:rsid w:val="00FC47FA"/>
    <w:rsid w:val="00FC72E0"/>
    <w:rsid w:val="00FD026E"/>
    <w:rsid w:val="00FD1730"/>
    <w:rsid w:val="00FD4217"/>
    <w:rsid w:val="00FD69D7"/>
    <w:rsid w:val="00FE2214"/>
    <w:rsid w:val="00FE7C8C"/>
    <w:rsid w:val="00FF07C3"/>
  </w:rsids>
  <m:mathPr>
    <m:mathFont m:val="Cambria Math"/>
    <m:brkBin m:val="before"/>
    <m:brkBinSub m:val="--"/>
    <m:smallFrac/>
    <m:dispDef/>
    <m:lMargin m:val="0"/>
    <m:rMargin m:val="0"/>
    <m:defJc m:val="centerGroup"/>
    <m:wrapIndent m:val="1440"/>
    <m:intLim m:val="subSup"/>
    <m:naryLim m:val="undOvr"/>
  </m:mathPr>
  <w:themeFontLang w:val="es-EC"/>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8193"/>
    <o:shapelayout v:ext="edit">
      <o:idmap v:ext="edit" data="1"/>
    </o:shapelayout>
  </w:shapeDefaults>
  <w:decimalSymbol w:val=","/>
  <w:listSeparator w:val=","/>
  <w15:docId w15:val="{F4C01F2D-64A3-44F8-B101-4418363ECB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SimSun" w:hAnsi="Times New Roman"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uiPriority="9"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641BC"/>
    <w:pPr>
      <w:widowControl w:val="0"/>
    </w:pPr>
    <w:rPr>
      <w:lang w:val="en-GB" w:eastAsia="en-US"/>
    </w:rPr>
  </w:style>
  <w:style w:type="paragraph" w:styleId="Ttulo1">
    <w:name w:val="heading 1"/>
    <w:basedOn w:val="Normal"/>
    <w:next w:val="Normal"/>
    <w:link w:val="Ttulo1Car"/>
    <w:uiPriority w:val="9"/>
    <w:qFormat/>
    <w:rsid w:val="00C641BC"/>
    <w:pPr>
      <w:keepNext/>
      <w:pBdr>
        <w:top w:val="single" w:sz="4" w:space="1" w:color="auto"/>
        <w:left w:val="single" w:sz="4" w:space="0" w:color="auto"/>
        <w:bottom w:val="single" w:sz="4" w:space="7" w:color="auto"/>
        <w:right w:val="single" w:sz="4" w:space="4" w:color="auto"/>
      </w:pBdr>
      <w:spacing w:line="360" w:lineRule="auto"/>
      <w:outlineLvl w:val="0"/>
    </w:pPr>
    <w:rPr>
      <w:b/>
      <w:bCs/>
    </w:rPr>
  </w:style>
  <w:style w:type="paragraph" w:styleId="Ttulo3">
    <w:name w:val="heading 3"/>
    <w:basedOn w:val="Normal"/>
    <w:next w:val="Normal"/>
    <w:autoRedefine/>
    <w:qFormat/>
    <w:rsid w:val="00C641BC"/>
    <w:pPr>
      <w:keepNext/>
      <w:pBdr>
        <w:top w:val="single" w:sz="4" w:space="1" w:color="auto"/>
        <w:left w:val="single" w:sz="4" w:space="4" w:color="auto"/>
        <w:right w:val="single" w:sz="4" w:space="4" w:color="auto"/>
      </w:pBdr>
      <w:ind w:right="113"/>
      <w:outlineLvl w:val="2"/>
    </w:pPr>
    <w:rPr>
      <w:b/>
      <w:bCs/>
      <w:szCs w:val="24"/>
    </w:rPr>
  </w:style>
  <w:style w:type="paragraph" w:styleId="Ttulo4">
    <w:name w:val="heading 4"/>
    <w:basedOn w:val="Normal"/>
    <w:next w:val="Normal"/>
    <w:qFormat/>
    <w:rsid w:val="00C641BC"/>
    <w:pPr>
      <w:keepNext/>
      <w:spacing w:before="240" w:after="60"/>
      <w:outlineLvl w:val="3"/>
    </w:pPr>
    <w:rPr>
      <w:b/>
      <w:bCs/>
      <w:sz w:val="28"/>
      <w:szCs w:val="2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Epgrafe1">
    <w:name w:val="Epígrafe1"/>
    <w:basedOn w:val="Normal"/>
    <w:next w:val="Normal"/>
    <w:qFormat/>
    <w:rsid w:val="00C641BC"/>
    <w:pPr>
      <w:keepLines/>
      <w:spacing w:before="200" w:after="240" w:line="200" w:lineRule="exact"/>
    </w:pPr>
    <w:rPr>
      <w:sz w:val="16"/>
    </w:rPr>
  </w:style>
  <w:style w:type="paragraph" w:customStyle="1" w:styleId="Els-1storder-head">
    <w:name w:val="Els-1storder-head"/>
    <w:next w:val="Els-body-text"/>
    <w:rsid w:val="00C641BC"/>
    <w:pPr>
      <w:keepNext/>
      <w:suppressAutoHyphens/>
      <w:spacing w:before="240" w:after="240" w:line="240" w:lineRule="exact"/>
    </w:pPr>
    <w:rPr>
      <w:b/>
      <w:lang w:val="en-US" w:eastAsia="en-US"/>
    </w:rPr>
  </w:style>
  <w:style w:type="paragraph" w:customStyle="1" w:styleId="Els-2ndorder-head">
    <w:name w:val="Els-2ndorder-head"/>
    <w:next w:val="Els-body-text"/>
    <w:rsid w:val="00C641BC"/>
    <w:pPr>
      <w:keepNext/>
      <w:suppressAutoHyphens/>
      <w:spacing w:before="240" w:after="240" w:line="240" w:lineRule="exact"/>
    </w:pPr>
    <w:rPr>
      <w:i/>
      <w:lang w:val="en-US" w:eastAsia="en-US"/>
    </w:rPr>
  </w:style>
  <w:style w:type="paragraph" w:customStyle="1" w:styleId="Els-3rdorder-head">
    <w:name w:val="Els-3rdorder-head"/>
    <w:next w:val="Els-body-text"/>
    <w:rsid w:val="00C641BC"/>
    <w:pPr>
      <w:keepNext/>
      <w:suppressAutoHyphens/>
      <w:spacing w:before="240" w:line="240" w:lineRule="exact"/>
    </w:pPr>
    <w:rPr>
      <w:i/>
      <w:lang w:val="en-US" w:eastAsia="en-US"/>
    </w:rPr>
  </w:style>
  <w:style w:type="paragraph" w:customStyle="1" w:styleId="Els-4thorder-head">
    <w:name w:val="Els-4thorder-head"/>
    <w:next w:val="Els-body-text"/>
    <w:rsid w:val="00C641BC"/>
    <w:pPr>
      <w:keepNext/>
      <w:suppressAutoHyphens/>
      <w:spacing w:before="240" w:line="240" w:lineRule="exact"/>
    </w:pPr>
    <w:rPr>
      <w:i/>
      <w:lang w:val="en-US" w:eastAsia="en-US"/>
    </w:rPr>
  </w:style>
  <w:style w:type="paragraph" w:customStyle="1" w:styleId="Els-Abstract-head">
    <w:name w:val="Els-Abstract-head"/>
    <w:next w:val="Normal"/>
    <w:rsid w:val="00C641BC"/>
    <w:pPr>
      <w:keepNext/>
      <w:pBdr>
        <w:top w:val="single" w:sz="4" w:space="10" w:color="auto"/>
      </w:pBdr>
      <w:suppressAutoHyphens/>
      <w:spacing w:after="220" w:line="220" w:lineRule="exact"/>
    </w:pPr>
    <w:rPr>
      <w:b/>
      <w:sz w:val="18"/>
      <w:lang w:val="en-US" w:eastAsia="en-US"/>
    </w:rPr>
  </w:style>
  <w:style w:type="paragraph" w:customStyle="1" w:styleId="Els-Abstract-text">
    <w:name w:val="Els-Abstract-text"/>
    <w:next w:val="Normal"/>
    <w:rsid w:val="00C641BC"/>
    <w:pPr>
      <w:spacing w:line="220" w:lineRule="exact"/>
      <w:jc w:val="both"/>
    </w:pPr>
    <w:rPr>
      <w:sz w:val="18"/>
      <w:lang w:val="en-US" w:eastAsia="en-US"/>
    </w:rPr>
  </w:style>
  <w:style w:type="paragraph" w:customStyle="1" w:styleId="Els-acknowledgement">
    <w:name w:val="Els-acknowledgement"/>
    <w:next w:val="Normal"/>
    <w:rsid w:val="00C641BC"/>
    <w:pPr>
      <w:keepNext/>
      <w:spacing w:before="480" w:after="240" w:line="220" w:lineRule="exact"/>
    </w:pPr>
    <w:rPr>
      <w:b/>
      <w:lang w:val="en-US" w:eastAsia="en-US"/>
    </w:rPr>
  </w:style>
  <w:style w:type="paragraph" w:customStyle="1" w:styleId="Els-aditional-article-history">
    <w:name w:val="Els-aditional-article-history"/>
    <w:basedOn w:val="Normal"/>
    <w:rsid w:val="00C641BC"/>
    <w:pPr>
      <w:spacing w:after="400" w:line="200" w:lineRule="exact"/>
      <w:jc w:val="center"/>
    </w:pPr>
    <w:rPr>
      <w:b/>
      <w:noProof/>
      <w:sz w:val="16"/>
      <w:lang w:val="en-US"/>
    </w:rPr>
  </w:style>
  <w:style w:type="paragraph" w:customStyle="1" w:styleId="Els-Affiliation">
    <w:name w:val="Els-Affiliation"/>
    <w:next w:val="Els-Abstract-head"/>
    <w:rsid w:val="00C641BC"/>
    <w:pPr>
      <w:suppressAutoHyphens/>
      <w:spacing w:line="200" w:lineRule="exact"/>
      <w:jc w:val="center"/>
    </w:pPr>
    <w:rPr>
      <w:i/>
      <w:noProof/>
      <w:sz w:val="16"/>
      <w:lang w:val="en-US" w:eastAsia="en-US"/>
    </w:rPr>
  </w:style>
  <w:style w:type="paragraph" w:customStyle="1" w:styleId="Els-appendixhead">
    <w:name w:val="Els-appendixhead"/>
    <w:next w:val="Normal"/>
    <w:rsid w:val="00C641BC"/>
    <w:pPr>
      <w:numPr>
        <w:numId w:val="1"/>
      </w:numPr>
      <w:spacing w:before="480" w:after="240" w:line="220" w:lineRule="exact"/>
    </w:pPr>
    <w:rPr>
      <w:b/>
      <w:lang w:val="en-US" w:eastAsia="en-US"/>
    </w:rPr>
  </w:style>
  <w:style w:type="paragraph" w:customStyle="1" w:styleId="Els-appendixsubhead">
    <w:name w:val="Els-appendixsubhead"/>
    <w:next w:val="Normal"/>
    <w:rsid w:val="00C641BC"/>
    <w:pPr>
      <w:numPr>
        <w:ilvl w:val="1"/>
        <w:numId w:val="2"/>
      </w:numPr>
      <w:spacing w:before="240" w:after="240" w:line="220" w:lineRule="exact"/>
    </w:pPr>
    <w:rPr>
      <w:i/>
      <w:lang w:val="en-US" w:eastAsia="en-US"/>
    </w:rPr>
  </w:style>
  <w:style w:type="paragraph" w:customStyle="1" w:styleId="Els-Author">
    <w:name w:val="Els-Author"/>
    <w:next w:val="Normal"/>
    <w:rsid w:val="00C641BC"/>
    <w:pPr>
      <w:keepNext/>
      <w:suppressAutoHyphens/>
      <w:spacing w:after="160" w:line="300" w:lineRule="exact"/>
      <w:jc w:val="center"/>
    </w:pPr>
    <w:rPr>
      <w:noProof/>
      <w:sz w:val="26"/>
      <w:lang w:val="en-US" w:eastAsia="en-US"/>
    </w:rPr>
  </w:style>
  <w:style w:type="paragraph" w:customStyle="1" w:styleId="Els-body-text">
    <w:name w:val="Els-body-text"/>
    <w:rsid w:val="00C641BC"/>
    <w:pPr>
      <w:spacing w:line="240" w:lineRule="exact"/>
      <w:ind w:firstLine="238"/>
      <w:jc w:val="both"/>
    </w:pPr>
    <w:rPr>
      <w:lang w:val="en-US" w:eastAsia="en-US"/>
    </w:rPr>
  </w:style>
  <w:style w:type="paragraph" w:customStyle="1" w:styleId="Els-bulletlist">
    <w:name w:val="Els-bulletlist"/>
    <w:basedOn w:val="Els-body-text"/>
    <w:rsid w:val="00C641BC"/>
    <w:pPr>
      <w:numPr>
        <w:numId w:val="3"/>
      </w:numPr>
      <w:tabs>
        <w:tab w:val="left" w:pos="240"/>
      </w:tabs>
      <w:jc w:val="left"/>
    </w:pPr>
  </w:style>
  <w:style w:type="paragraph" w:customStyle="1" w:styleId="Els-caption">
    <w:name w:val="Els-caption"/>
    <w:rsid w:val="00C641BC"/>
    <w:pPr>
      <w:keepLines/>
      <w:spacing w:before="200" w:after="240" w:line="200" w:lineRule="exact"/>
    </w:pPr>
    <w:rPr>
      <w:sz w:val="16"/>
      <w:lang w:val="en-US" w:eastAsia="en-US"/>
    </w:rPr>
  </w:style>
  <w:style w:type="paragraph" w:customStyle="1" w:styleId="Els-chem-equation">
    <w:name w:val="Els-chem-equation"/>
    <w:next w:val="Els-body-text"/>
    <w:rsid w:val="00C641BC"/>
    <w:pPr>
      <w:tabs>
        <w:tab w:val="right" w:pos="4320"/>
        <w:tab w:val="right" w:pos="9120"/>
      </w:tabs>
      <w:spacing w:before="120" w:after="120" w:line="220" w:lineRule="exact"/>
    </w:pPr>
    <w:rPr>
      <w:noProof/>
      <w:sz w:val="18"/>
      <w:lang w:val="en-US" w:eastAsia="en-US"/>
    </w:rPr>
  </w:style>
  <w:style w:type="paragraph" w:customStyle="1" w:styleId="Els-collaboration">
    <w:name w:val="Els-collaboration"/>
    <w:basedOn w:val="Els-Author"/>
    <w:rsid w:val="00C641BC"/>
    <w:pPr>
      <w:jc w:val="right"/>
    </w:pPr>
  </w:style>
  <w:style w:type="paragraph" w:customStyle="1" w:styleId="Els-collaboration-affiliation">
    <w:name w:val="Els-collaboration-affiliation"/>
    <w:basedOn w:val="Els-collaboration"/>
    <w:rsid w:val="00C641BC"/>
  </w:style>
  <w:style w:type="paragraph" w:customStyle="1" w:styleId="Els-presented-by">
    <w:name w:val="Els-presented-by"/>
    <w:rsid w:val="00C641BC"/>
    <w:pPr>
      <w:spacing w:after="200"/>
      <w:jc w:val="center"/>
    </w:pPr>
    <w:rPr>
      <w:b/>
      <w:sz w:val="16"/>
      <w:lang w:val="en-US" w:eastAsia="en-US"/>
    </w:rPr>
  </w:style>
  <w:style w:type="paragraph" w:customStyle="1" w:styleId="Els-dedicated-to">
    <w:name w:val="Els-dedicated-to"/>
    <w:basedOn w:val="Els-presented-by"/>
    <w:rsid w:val="00C641BC"/>
    <w:rPr>
      <w:b w:val="0"/>
    </w:rPr>
  </w:style>
  <w:style w:type="paragraph" w:customStyle="1" w:styleId="Els-equation">
    <w:name w:val="Els-equation"/>
    <w:next w:val="Normal"/>
    <w:rsid w:val="00C641BC"/>
    <w:pPr>
      <w:widowControl w:val="0"/>
      <w:tabs>
        <w:tab w:val="right" w:pos="4320"/>
        <w:tab w:val="right" w:pos="9120"/>
      </w:tabs>
      <w:spacing w:before="240" w:after="240"/>
      <w:ind w:left="482"/>
    </w:pPr>
    <w:rPr>
      <w:i/>
      <w:noProof/>
      <w:lang w:val="en-US" w:eastAsia="en-US"/>
    </w:rPr>
  </w:style>
  <w:style w:type="paragraph" w:customStyle="1" w:styleId="Els-footnote">
    <w:name w:val="Els-footnote"/>
    <w:rsid w:val="00C641BC"/>
    <w:pPr>
      <w:keepLines/>
      <w:widowControl w:val="0"/>
      <w:spacing w:line="200" w:lineRule="exact"/>
      <w:ind w:firstLine="245"/>
      <w:jc w:val="both"/>
    </w:pPr>
    <w:rPr>
      <w:sz w:val="16"/>
      <w:lang w:val="en-US" w:eastAsia="en-US"/>
    </w:rPr>
  </w:style>
  <w:style w:type="paragraph" w:customStyle="1" w:styleId="Els-history">
    <w:name w:val="Els-history"/>
    <w:next w:val="Normal"/>
    <w:rsid w:val="00C641BC"/>
    <w:pPr>
      <w:spacing w:before="120" w:after="400" w:line="200" w:lineRule="exact"/>
      <w:jc w:val="center"/>
    </w:pPr>
    <w:rPr>
      <w:noProof/>
      <w:sz w:val="16"/>
      <w:lang w:val="en-US" w:eastAsia="en-US"/>
    </w:rPr>
  </w:style>
  <w:style w:type="paragraph" w:customStyle="1" w:styleId="Els-journal-logo">
    <w:name w:val="Els-journal-logo"/>
    <w:rsid w:val="00C641BC"/>
    <w:pPr>
      <w:pBdr>
        <w:top w:val="thinThickLargeGap" w:sz="12" w:space="0" w:color="auto"/>
        <w:bottom w:val="thickThinLargeGap" w:sz="12" w:space="0" w:color="auto"/>
      </w:pBdr>
    </w:pPr>
    <w:rPr>
      <w:rFonts w:ascii="Helvetica" w:hAnsi="Helvetica"/>
      <w:b/>
      <w:noProof/>
      <w:sz w:val="24"/>
      <w:lang w:val="en-US" w:eastAsia="en-US"/>
    </w:rPr>
  </w:style>
  <w:style w:type="paragraph" w:customStyle="1" w:styleId="Els-keywords">
    <w:name w:val="Els-keywords"/>
    <w:next w:val="Normal"/>
    <w:rsid w:val="00C641BC"/>
    <w:pPr>
      <w:pBdr>
        <w:bottom w:val="single" w:sz="4" w:space="10" w:color="auto"/>
      </w:pBdr>
      <w:spacing w:after="200" w:line="200" w:lineRule="exact"/>
    </w:pPr>
    <w:rPr>
      <w:noProof/>
      <w:sz w:val="16"/>
      <w:lang w:val="en-US" w:eastAsia="en-US"/>
    </w:rPr>
  </w:style>
  <w:style w:type="paragraph" w:customStyle="1" w:styleId="Els-numlist">
    <w:name w:val="Els-numlist"/>
    <w:basedOn w:val="Els-body-text"/>
    <w:rsid w:val="00C641BC"/>
    <w:pPr>
      <w:numPr>
        <w:numId w:val="4"/>
      </w:numPr>
      <w:tabs>
        <w:tab w:val="left" w:pos="240"/>
      </w:tabs>
      <w:ind w:left="480"/>
      <w:jc w:val="left"/>
    </w:pPr>
  </w:style>
  <w:style w:type="paragraph" w:customStyle="1" w:styleId="Els-reference">
    <w:name w:val="Els-reference"/>
    <w:rsid w:val="00C641BC"/>
    <w:pPr>
      <w:tabs>
        <w:tab w:val="left" w:pos="312"/>
      </w:tabs>
      <w:spacing w:line="200" w:lineRule="exact"/>
      <w:ind w:left="312" w:hanging="312"/>
    </w:pPr>
    <w:rPr>
      <w:noProof/>
      <w:sz w:val="16"/>
      <w:lang w:val="en-US" w:eastAsia="en-US"/>
    </w:rPr>
  </w:style>
  <w:style w:type="paragraph" w:customStyle="1" w:styleId="Els-reference-head">
    <w:name w:val="Els-reference-head"/>
    <w:next w:val="Els-reference"/>
    <w:rsid w:val="00C641BC"/>
    <w:pPr>
      <w:keepNext/>
      <w:spacing w:before="480" w:after="200" w:line="220" w:lineRule="exact"/>
    </w:pPr>
    <w:rPr>
      <w:b/>
      <w:lang w:val="en-US" w:eastAsia="en-US"/>
    </w:rPr>
  </w:style>
  <w:style w:type="paragraph" w:customStyle="1" w:styleId="Els-reprint-line">
    <w:name w:val="Els-reprint-line"/>
    <w:basedOn w:val="Normal"/>
    <w:rsid w:val="00C641BC"/>
    <w:pPr>
      <w:tabs>
        <w:tab w:val="left" w:pos="0"/>
        <w:tab w:val="center" w:pos="5443"/>
      </w:tabs>
      <w:jc w:val="center"/>
    </w:pPr>
    <w:rPr>
      <w:sz w:val="16"/>
    </w:rPr>
  </w:style>
  <w:style w:type="paragraph" w:customStyle="1" w:styleId="Els-table-text">
    <w:name w:val="Els-table-text"/>
    <w:rsid w:val="00C641BC"/>
    <w:pPr>
      <w:spacing w:after="80" w:line="200" w:lineRule="exact"/>
    </w:pPr>
    <w:rPr>
      <w:sz w:val="16"/>
      <w:lang w:val="en-US" w:eastAsia="en-US"/>
    </w:rPr>
  </w:style>
  <w:style w:type="paragraph" w:customStyle="1" w:styleId="Els-Title">
    <w:name w:val="Els-Title"/>
    <w:next w:val="Els-Author"/>
    <w:autoRedefine/>
    <w:rsid w:val="00C641BC"/>
    <w:pPr>
      <w:suppressAutoHyphens/>
      <w:spacing w:after="240" w:line="400" w:lineRule="exact"/>
      <w:jc w:val="center"/>
    </w:pPr>
    <w:rPr>
      <w:sz w:val="34"/>
      <w:lang w:val="en-US" w:eastAsia="en-US"/>
    </w:rPr>
  </w:style>
  <w:style w:type="character" w:styleId="Refdenotaalfinal">
    <w:name w:val="endnote reference"/>
    <w:semiHidden/>
    <w:rsid w:val="00C641BC"/>
    <w:rPr>
      <w:vertAlign w:val="superscript"/>
    </w:rPr>
  </w:style>
  <w:style w:type="paragraph" w:styleId="Encabezado">
    <w:name w:val="header"/>
    <w:link w:val="EncabezadoCar"/>
    <w:uiPriority w:val="99"/>
    <w:rsid w:val="00C641BC"/>
    <w:pPr>
      <w:tabs>
        <w:tab w:val="center" w:pos="4706"/>
        <w:tab w:val="right" w:pos="9356"/>
      </w:tabs>
      <w:spacing w:before="100" w:beforeAutospacing="1" w:after="240" w:line="200" w:lineRule="atLeast"/>
    </w:pPr>
    <w:rPr>
      <w:i/>
      <w:noProof/>
      <w:sz w:val="16"/>
      <w:lang w:val="en-US" w:eastAsia="en-US"/>
    </w:rPr>
  </w:style>
  <w:style w:type="paragraph" w:styleId="Piedepgina">
    <w:name w:val="footer"/>
    <w:basedOn w:val="Encabezado"/>
    <w:semiHidden/>
    <w:rsid w:val="00C641BC"/>
    <w:pPr>
      <w:tabs>
        <w:tab w:val="right" w:pos="10080"/>
      </w:tabs>
    </w:pPr>
    <w:rPr>
      <w:i w:val="0"/>
    </w:rPr>
  </w:style>
  <w:style w:type="character" w:styleId="Refdenotaalpie">
    <w:name w:val="footnote reference"/>
    <w:semiHidden/>
    <w:rsid w:val="00C641BC"/>
    <w:rPr>
      <w:vertAlign w:val="superscript"/>
    </w:rPr>
  </w:style>
  <w:style w:type="paragraph" w:styleId="Textonotapie">
    <w:name w:val="footnote text"/>
    <w:basedOn w:val="Normal"/>
    <w:semiHidden/>
    <w:rsid w:val="00C641BC"/>
    <w:rPr>
      <w:rFonts w:ascii="Univers" w:hAnsi="Univers"/>
    </w:rPr>
  </w:style>
  <w:style w:type="character" w:styleId="Hipervnculo">
    <w:name w:val="Hyperlink"/>
    <w:semiHidden/>
    <w:rsid w:val="00C641BC"/>
    <w:rPr>
      <w:color w:val="auto"/>
      <w:sz w:val="16"/>
      <w:u w:val="none"/>
    </w:rPr>
  </w:style>
  <w:style w:type="character" w:customStyle="1" w:styleId="MTEquationSection">
    <w:name w:val="MTEquationSection"/>
    <w:rsid w:val="00C641BC"/>
    <w:rPr>
      <w:vanish w:val="0"/>
      <w:color w:val="FF0000"/>
    </w:rPr>
  </w:style>
  <w:style w:type="character" w:styleId="Nmerodepgina">
    <w:name w:val="page number"/>
    <w:semiHidden/>
    <w:rsid w:val="00C641BC"/>
    <w:rPr>
      <w:sz w:val="16"/>
    </w:rPr>
  </w:style>
  <w:style w:type="paragraph" w:styleId="Textosinformato">
    <w:name w:val="Plain Text"/>
    <w:basedOn w:val="Normal"/>
    <w:semiHidden/>
    <w:rsid w:val="00C641BC"/>
    <w:rPr>
      <w:rFonts w:ascii="Courier New" w:hAnsi="Courier New" w:cs="Courier New"/>
      <w:lang w:val="en-US"/>
    </w:rPr>
  </w:style>
  <w:style w:type="paragraph" w:customStyle="1" w:styleId="Els-5thorder-head">
    <w:name w:val="Els-5thorder-head"/>
    <w:next w:val="Els-body-text"/>
    <w:rsid w:val="00C641BC"/>
    <w:pPr>
      <w:keepNext/>
      <w:suppressAutoHyphens/>
      <w:spacing w:line="240" w:lineRule="exact"/>
    </w:pPr>
    <w:rPr>
      <w:i/>
      <w:lang w:val="en-US" w:eastAsia="en-US"/>
    </w:rPr>
  </w:style>
  <w:style w:type="paragraph" w:customStyle="1" w:styleId="Els-Abstract-Copyright">
    <w:name w:val="Els-Abstract-Copyright"/>
    <w:basedOn w:val="Els-Abstract-text"/>
    <w:rsid w:val="00C641BC"/>
    <w:pPr>
      <w:spacing w:after="220"/>
    </w:pPr>
  </w:style>
  <w:style w:type="paragraph" w:customStyle="1" w:styleId="DocHead">
    <w:name w:val="DocHead"/>
    <w:rsid w:val="00C641BC"/>
    <w:pPr>
      <w:spacing w:before="240" w:after="240"/>
      <w:jc w:val="center"/>
    </w:pPr>
    <w:rPr>
      <w:sz w:val="24"/>
      <w:lang w:val="en-US" w:eastAsia="en-US"/>
    </w:rPr>
  </w:style>
  <w:style w:type="character" w:styleId="Hipervnculovisitado">
    <w:name w:val="FollowedHyperlink"/>
    <w:semiHidden/>
    <w:rsid w:val="00C641BC"/>
    <w:rPr>
      <w:color w:val="800080"/>
      <w:u w:val="single"/>
    </w:rPr>
  </w:style>
  <w:style w:type="character" w:customStyle="1" w:styleId="Els-1storder-headChar">
    <w:name w:val="Els-1storder-head Char"/>
    <w:rsid w:val="00C641BC"/>
    <w:rPr>
      <w:b/>
      <w:lang w:val="en-US" w:eastAsia="en-US" w:bidi="ar-SA"/>
    </w:rPr>
  </w:style>
  <w:style w:type="character" w:styleId="Refdecomentario">
    <w:name w:val="annotation reference"/>
    <w:uiPriority w:val="99"/>
    <w:semiHidden/>
    <w:unhideWhenUsed/>
    <w:rsid w:val="00C641BC"/>
    <w:rPr>
      <w:sz w:val="16"/>
      <w:szCs w:val="16"/>
    </w:rPr>
  </w:style>
  <w:style w:type="paragraph" w:styleId="Textodeglobo">
    <w:name w:val="Balloon Text"/>
    <w:basedOn w:val="Normal"/>
    <w:rsid w:val="00C641BC"/>
    <w:rPr>
      <w:rFonts w:ascii="Tahoma" w:hAnsi="Tahoma" w:cs="Tahoma"/>
      <w:sz w:val="16"/>
      <w:szCs w:val="16"/>
    </w:rPr>
  </w:style>
  <w:style w:type="character" w:customStyle="1" w:styleId="BalloonTextChar">
    <w:name w:val="Balloon Text Char"/>
    <w:rsid w:val="00C641BC"/>
    <w:rPr>
      <w:rFonts w:ascii="Tahoma" w:hAnsi="Tahoma" w:cs="Tahoma"/>
      <w:sz w:val="16"/>
      <w:szCs w:val="16"/>
      <w:lang w:eastAsia="en-US"/>
    </w:rPr>
  </w:style>
  <w:style w:type="paragraph" w:styleId="Textocomentario">
    <w:name w:val="annotation text"/>
    <w:basedOn w:val="Normal"/>
    <w:link w:val="TextocomentarioCar"/>
    <w:uiPriority w:val="99"/>
    <w:semiHidden/>
    <w:unhideWhenUsed/>
    <w:rsid w:val="00C641BC"/>
  </w:style>
  <w:style w:type="character" w:customStyle="1" w:styleId="CommentTextChar">
    <w:name w:val="Comment Text Char"/>
    <w:semiHidden/>
    <w:rsid w:val="00C641BC"/>
    <w:rPr>
      <w:lang w:val="en-GB"/>
    </w:rPr>
  </w:style>
  <w:style w:type="paragraph" w:styleId="Asuntodelcomentario">
    <w:name w:val="annotation subject"/>
    <w:basedOn w:val="Textocomentario"/>
    <w:next w:val="Textocomentario"/>
    <w:semiHidden/>
    <w:unhideWhenUsed/>
    <w:rsid w:val="00C641BC"/>
    <w:rPr>
      <w:b/>
      <w:bCs/>
    </w:rPr>
  </w:style>
  <w:style w:type="character" w:customStyle="1" w:styleId="CommentSubjectChar">
    <w:name w:val="Comment Subject Char"/>
    <w:semiHidden/>
    <w:rsid w:val="00C641BC"/>
    <w:rPr>
      <w:b/>
      <w:bCs/>
      <w:lang w:val="en-GB"/>
    </w:rPr>
  </w:style>
  <w:style w:type="paragraph" w:styleId="Sangradetextonormal">
    <w:name w:val="Body Text Indent"/>
    <w:basedOn w:val="Normal"/>
    <w:link w:val="SangradetextonormalCar"/>
    <w:semiHidden/>
    <w:rsid w:val="00C641BC"/>
    <w:pPr>
      <w:widowControl/>
      <w:suppressAutoHyphens/>
      <w:ind w:firstLine="360"/>
      <w:jc w:val="both"/>
    </w:pPr>
    <w:rPr>
      <w:rFonts w:eastAsia="Times New Roman"/>
      <w:kern w:val="14"/>
      <w:lang w:val="en-US"/>
    </w:rPr>
  </w:style>
  <w:style w:type="paragraph" w:customStyle="1" w:styleId="ColorfulList-Accent11">
    <w:name w:val="Colorful List - Accent 11"/>
    <w:basedOn w:val="Normal"/>
    <w:qFormat/>
    <w:rsid w:val="00C641BC"/>
    <w:pPr>
      <w:widowControl/>
      <w:ind w:left="720"/>
    </w:pPr>
    <w:rPr>
      <w:rFonts w:ascii="Arial" w:eastAsia="Batang" w:hAnsi="Arial"/>
      <w:sz w:val="22"/>
      <w:szCs w:val="24"/>
      <w:lang w:val="en-US" w:eastAsia="ko-KR"/>
    </w:rPr>
  </w:style>
  <w:style w:type="paragraph" w:styleId="Sangra2detindependiente">
    <w:name w:val="Body Text Indent 2"/>
    <w:basedOn w:val="Normal"/>
    <w:semiHidden/>
    <w:rsid w:val="00C641BC"/>
    <w:pPr>
      <w:ind w:firstLine="240"/>
    </w:pPr>
  </w:style>
  <w:style w:type="character" w:styleId="Textodelmarcadordeposicin">
    <w:name w:val="Placeholder Text"/>
    <w:uiPriority w:val="99"/>
    <w:semiHidden/>
    <w:rsid w:val="00BD61F5"/>
    <w:rPr>
      <w:color w:val="808080"/>
    </w:rPr>
  </w:style>
  <w:style w:type="character" w:customStyle="1" w:styleId="SangradetextonormalCar">
    <w:name w:val="Sangría de texto normal Car"/>
    <w:link w:val="Sangradetextonormal"/>
    <w:semiHidden/>
    <w:rsid w:val="003B6D9E"/>
    <w:rPr>
      <w:rFonts w:eastAsia="Times New Roman"/>
      <w:kern w:val="14"/>
      <w:lang w:val="en-US" w:eastAsia="en-US"/>
    </w:rPr>
  </w:style>
  <w:style w:type="paragraph" w:styleId="Prrafodelista">
    <w:name w:val="List Paragraph"/>
    <w:basedOn w:val="Normal"/>
    <w:uiPriority w:val="34"/>
    <w:qFormat/>
    <w:rsid w:val="003B6D9E"/>
    <w:pPr>
      <w:ind w:left="720"/>
      <w:contextualSpacing/>
    </w:pPr>
  </w:style>
  <w:style w:type="character" w:customStyle="1" w:styleId="EncabezadoCar">
    <w:name w:val="Encabezado Car"/>
    <w:link w:val="Encabezado"/>
    <w:uiPriority w:val="99"/>
    <w:rsid w:val="00272FD4"/>
    <w:rPr>
      <w:i/>
      <w:noProof/>
      <w:sz w:val="16"/>
      <w:lang w:val="en-US" w:eastAsia="en-US" w:bidi="ar-SA"/>
    </w:rPr>
  </w:style>
  <w:style w:type="paragraph" w:styleId="NormalWeb">
    <w:name w:val="Normal (Web)"/>
    <w:basedOn w:val="Normal"/>
    <w:uiPriority w:val="99"/>
    <w:unhideWhenUsed/>
    <w:rsid w:val="00D93BF2"/>
    <w:pPr>
      <w:widowControl/>
      <w:spacing w:before="100" w:beforeAutospacing="1" w:after="100" w:afterAutospacing="1"/>
    </w:pPr>
    <w:rPr>
      <w:rFonts w:eastAsia="Calibri"/>
      <w:sz w:val="24"/>
      <w:szCs w:val="24"/>
      <w:lang w:val="en-US"/>
    </w:rPr>
  </w:style>
  <w:style w:type="character" w:customStyle="1" w:styleId="TextocomentarioCar">
    <w:name w:val="Texto comentario Car"/>
    <w:link w:val="Textocomentario"/>
    <w:uiPriority w:val="99"/>
    <w:semiHidden/>
    <w:rsid w:val="00D93BF2"/>
    <w:rPr>
      <w:lang w:val="en-GB" w:eastAsia="en-US"/>
    </w:rPr>
  </w:style>
  <w:style w:type="table" w:styleId="Tablaconcuadrcula">
    <w:name w:val="Table Grid"/>
    <w:basedOn w:val="Tablanormal"/>
    <w:uiPriority w:val="59"/>
    <w:rsid w:val="00D93BF2"/>
    <w:rPr>
      <w:rFonts w:ascii="Calibri" w:eastAsia="Calibri" w:hAnsi="Calibri"/>
      <w:sz w:val="22"/>
      <w:szCs w:val="22"/>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itationconferencelocation">
    <w:name w:val="citation_conference_location"/>
    <w:basedOn w:val="Fuentedeprrafopredeter"/>
    <w:rsid w:val="00D93BF2"/>
  </w:style>
  <w:style w:type="paragraph" w:customStyle="1" w:styleId="Affiliation">
    <w:name w:val="Affiliation"/>
    <w:uiPriority w:val="99"/>
    <w:rsid w:val="00DC12DA"/>
    <w:pPr>
      <w:jc w:val="center"/>
    </w:pPr>
    <w:rPr>
      <w:rFonts w:eastAsia="Times New Roman"/>
      <w:lang w:val="en-US" w:eastAsia="en-US"/>
    </w:rPr>
  </w:style>
  <w:style w:type="paragraph" w:customStyle="1" w:styleId="Abstract">
    <w:name w:val="Abstract"/>
    <w:uiPriority w:val="99"/>
    <w:rsid w:val="00DC12DA"/>
    <w:pPr>
      <w:spacing w:after="200"/>
      <w:ind w:firstLine="274"/>
      <w:jc w:val="both"/>
    </w:pPr>
    <w:rPr>
      <w:rFonts w:eastAsia="Times New Roman"/>
      <w:b/>
      <w:bCs/>
      <w:sz w:val="18"/>
      <w:szCs w:val="18"/>
      <w:lang w:val="en-US" w:eastAsia="en-US"/>
    </w:rPr>
  </w:style>
  <w:style w:type="paragraph" w:styleId="Textoindependiente2">
    <w:name w:val="Body Text 2"/>
    <w:basedOn w:val="Normal"/>
    <w:link w:val="Textoindependiente2Car"/>
    <w:uiPriority w:val="99"/>
    <w:unhideWhenUsed/>
    <w:rsid w:val="00DC12DA"/>
    <w:pPr>
      <w:widowControl/>
      <w:spacing w:after="120" w:line="480" w:lineRule="auto"/>
      <w:jc w:val="center"/>
    </w:pPr>
    <w:rPr>
      <w:rFonts w:eastAsia="Times New Roman"/>
      <w:lang w:val="en-US"/>
    </w:rPr>
  </w:style>
  <w:style w:type="character" w:customStyle="1" w:styleId="Textoindependiente2Car">
    <w:name w:val="Texto independiente 2 Car"/>
    <w:link w:val="Textoindependiente2"/>
    <w:uiPriority w:val="99"/>
    <w:rsid w:val="00DC12DA"/>
    <w:rPr>
      <w:rFonts w:eastAsia="Times New Roman"/>
      <w:lang w:val="en-US" w:eastAsia="en-US"/>
    </w:rPr>
  </w:style>
  <w:style w:type="paragraph" w:styleId="Textoindependiente">
    <w:name w:val="Body Text"/>
    <w:basedOn w:val="Normal"/>
    <w:link w:val="TextoindependienteCar"/>
    <w:uiPriority w:val="99"/>
    <w:unhideWhenUsed/>
    <w:rsid w:val="00EF3725"/>
    <w:pPr>
      <w:spacing w:after="120"/>
    </w:pPr>
  </w:style>
  <w:style w:type="character" w:customStyle="1" w:styleId="TextoindependienteCar">
    <w:name w:val="Texto independiente Car"/>
    <w:link w:val="Textoindependiente"/>
    <w:uiPriority w:val="99"/>
    <w:rsid w:val="00EF3725"/>
    <w:rPr>
      <w:lang w:val="en-GB" w:eastAsia="en-US"/>
    </w:rPr>
  </w:style>
  <w:style w:type="paragraph" w:customStyle="1" w:styleId="tablefootnote">
    <w:name w:val="table footnote"/>
    <w:uiPriority w:val="99"/>
    <w:rsid w:val="008A4651"/>
    <w:pPr>
      <w:numPr>
        <w:numId w:val="5"/>
      </w:numPr>
      <w:tabs>
        <w:tab w:val="left" w:pos="29"/>
      </w:tabs>
      <w:spacing w:before="60" w:after="30"/>
      <w:jc w:val="right"/>
    </w:pPr>
    <w:rPr>
      <w:rFonts w:eastAsia="MS Mincho"/>
      <w:sz w:val="12"/>
      <w:szCs w:val="12"/>
      <w:lang w:val="en-US" w:eastAsia="en-US"/>
    </w:rPr>
  </w:style>
  <w:style w:type="paragraph" w:customStyle="1" w:styleId="references">
    <w:name w:val="references"/>
    <w:uiPriority w:val="99"/>
    <w:rsid w:val="00470E34"/>
    <w:pPr>
      <w:numPr>
        <w:numId w:val="6"/>
      </w:numPr>
      <w:spacing w:after="50" w:line="180" w:lineRule="exact"/>
      <w:jc w:val="both"/>
    </w:pPr>
    <w:rPr>
      <w:rFonts w:eastAsia="Times New Roman"/>
      <w:noProof/>
      <w:sz w:val="16"/>
      <w:szCs w:val="16"/>
      <w:lang w:val="en-US" w:eastAsia="en-US"/>
    </w:rPr>
  </w:style>
  <w:style w:type="paragraph" w:customStyle="1" w:styleId="BasicParagraph">
    <w:name w:val="[Basic Paragraph]"/>
    <w:basedOn w:val="Normal"/>
    <w:uiPriority w:val="99"/>
    <w:rsid w:val="000B2914"/>
    <w:pPr>
      <w:autoSpaceDE w:val="0"/>
      <w:autoSpaceDN w:val="0"/>
      <w:adjustRightInd w:val="0"/>
      <w:spacing w:line="288" w:lineRule="auto"/>
      <w:textAlignment w:val="center"/>
    </w:pPr>
    <w:rPr>
      <w:rFonts w:ascii="MinionPro-Regular" w:eastAsia="Times New Roman" w:hAnsi="MinionPro-Regular" w:cs="MinionPro-Regular"/>
      <w:color w:val="000000"/>
      <w:sz w:val="24"/>
      <w:szCs w:val="24"/>
      <w:lang w:val="en-US"/>
    </w:rPr>
  </w:style>
  <w:style w:type="character" w:customStyle="1" w:styleId="Ttulo1Car">
    <w:name w:val="Título 1 Car"/>
    <w:basedOn w:val="Fuentedeprrafopredeter"/>
    <w:link w:val="Ttulo1"/>
    <w:uiPriority w:val="9"/>
    <w:rsid w:val="00FF07C3"/>
    <w:rPr>
      <w:b/>
      <w:bCs/>
      <w:lang w:val="en-GB" w:eastAsia="en-US"/>
    </w:rPr>
  </w:style>
  <w:style w:type="character" w:customStyle="1" w:styleId="figurasCar">
    <w:name w:val="figuras Car"/>
    <w:basedOn w:val="Fuentedeprrafopredeter"/>
    <w:link w:val="figuras"/>
    <w:locked/>
    <w:rsid w:val="00A65DC6"/>
    <w:rPr>
      <w:b/>
      <w:i/>
      <w:sz w:val="24"/>
      <w:lang w:val="es-ES"/>
    </w:rPr>
  </w:style>
  <w:style w:type="paragraph" w:customStyle="1" w:styleId="figuras">
    <w:name w:val="figuras"/>
    <w:basedOn w:val="Normal"/>
    <w:link w:val="figurasCar"/>
    <w:qFormat/>
    <w:rsid w:val="00A65DC6"/>
    <w:pPr>
      <w:widowControl/>
      <w:spacing w:before="240" w:after="240"/>
      <w:contextualSpacing/>
      <w:jc w:val="both"/>
    </w:pPr>
    <w:rPr>
      <w:b/>
      <w:i/>
      <w:sz w:val="24"/>
      <w:lang w:val="es-ES" w:eastAsia="es-EC"/>
    </w:rPr>
  </w:style>
  <w:style w:type="character" w:customStyle="1" w:styleId="tablasCar">
    <w:name w:val="tablas Car"/>
    <w:basedOn w:val="Fuentedeprrafopredeter"/>
    <w:link w:val="tablas"/>
    <w:locked/>
    <w:rsid w:val="00823E05"/>
    <w:rPr>
      <w:b/>
      <w:sz w:val="24"/>
      <w:lang w:val="es-ES"/>
    </w:rPr>
  </w:style>
  <w:style w:type="paragraph" w:customStyle="1" w:styleId="tablas">
    <w:name w:val="tablas"/>
    <w:basedOn w:val="Normal"/>
    <w:link w:val="tablasCar"/>
    <w:qFormat/>
    <w:rsid w:val="00823E05"/>
    <w:pPr>
      <w:widowControl/>
      <w:spacing w:before="240" w:after="240"/>
      <w:contextualSpacing/>
      <w:jc w:val="both"/>
    </w:pPr>
    <w:rPr>
      <w:b/>
      <w:sz w:val="24"/>
      <w:lang w:val="es-ES" w:eastAsia="es-EC"/>
    </w:rPr>
  </w:style>
  <w:style w:type="table" w:customStyle="1" w:styleId="Tablanormal21">
    <w:name w:val="Tabla normal 21"/>
    <w:basedOn w:val="Tablanormal"/>
    <w:uiPriority w:val="42"/>
    <w:rsid w:val="00BB30AC"/>
    <w:rPr>
      <w:rFonts w:asciiTheme="minorHAnsi" w:eastAsiaTheme="minorHAnsi" w:hAnsiTheme="minorHAnsi" w:cstheme="minorBidi"/>
      <w:sz w:val="22"/>
      <w:szCs w:val="22"/>
      <w:lang w:eastAsia="en-US"/>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anormal31">
    <w:name w:val="Tabla normal 31"/>
    <w:basedOn w:val="Tablanormal"/>
    <w:uiPriority w:val="43"/>
    <w:rsid w:val="00BB30AC"/>
    <w:rPr>
      <w:rFonts w:asciiTheme="minorHAnsi" w:eastAsiaTheme="minorHAnsi" w:hAnsiTheme="minorHAnsi" w:cstheme="minorBidi"/>
      <w:sz w:val="22"/>
      <w:szCs w:val="22"/>
      <w:lang w:eastAsia="en-US"/>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character" w:customStyle="1" w:styleId="SinespaciadoCar">
    <w:name w:val="Sin espaciado Car"/>
    <w:aliases w:val="Cuadro Car"/>
    <w:basedOn w:val="Fuentedeprrafopredeter"/>
    <w:link w:val="Sinespaciado"/>
    <w:uiPriority w:val="1"/>
    <w:locked/>
    <w:rsid w:val="00257AE2"/>
    <w:rPr>
      <w:rFonts w:ascii="Calibri" w:eastAsia="Calibri" w:hAnsi="Calibri"/>
      <w:lang w:val="es-ES"/>
    </w:rPr>
  </w:style>
  <w:style w:type="paragraph" w:styleId="Sinespaciado">
    <w:name w:val="No Spacing"/>
    <w:aliases w:val="Cuadro"/>
    <w:link w:val="SinespaciadoCar"/>
    <w:uiPriority w:val="1"/>
    <w:qFormat/>
    <w:rsid w:val="00257AE2"/>
    <w:rPr>
      <w:rFonts w:ascii="Calibri" w:eastAsia="Calibri" w:hAnsi="Calibri"/>
      <w:lang w:val="es-ES"/>
    </w:rPr>
  </w:style>
  <w:style w:type="table" w:customStyle="1" w:styleId="Tabladecuadrcula4-nfasis31">
    <w:name w:val="Tabla de cuadrícula 4 - Énfasis 31"/>
    <w:basedOn w:val="Tablanormal"/>
    <w:uiPriority w:val="49"/>
    <w:rsid w:val="00257AE2"/>
    <w:rPr>
      <w:rFonts w:asciiTheme="minorHAnsi" w:eastAsiaTheme="minorHAnsi" w:hAnsiTheme="minorHAnsi" w:cstheme="minorBidi"/>
      <w:sz w:val="22"/>
      <w:szCs w:val="22"/>
      <w:lang w:eastAsia="en-US"/>
    </w:rPr>
    <w:tblPr>
      <w:tblStyleRowBandSize w:val="1"/>
      <w:tblStyleColBandSize w:val="1"/>
      <w:tblInd w:w="0" w:type="dxa"/>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Cuadrculadetablaclara1">
    <w:name w:val="Cuadrícula de tabla clara1"/>
    <w:basedOn w:val="Tablanormal"/>
    <w:uiPriority w:val="40"/>
    <w:rsid w:val="00257AE2"/>
    <w:rPr>
      <w:rFonts w:asciiTheme="minorHAnsi" w:eastAsiaTheme="minorHAnsi" w:hAnsiTheme="minorHAnsi" w:cstheme="minorBidi"/>
      <w:sz w:val="22"/>
      <w:szCs w:val="22"/>
      <w:lang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Bibliografa">
    <w:name w:val="Bibliography"/>
    <w:basedOn w:val="Normal"/>
    <w:next w:val="Normal"/>
    <w:uiPriority w:val="37"/>
    <w:unhideWhenUsed/>
    <w:rsid w:val="005044D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8912">
      <w:bodyDiv w:val="1"/>
      <w:marLeft w:val="0"/>
      <w:marRight w:val="0"/>
      <w:marTop w:val="0"/>
      <w:marBottom w:val="0"/>
      <w:divBdr>
        <w:top w:val="none" w:sz="0" w:space="0" w:color="auto"/>
        <w:left w:val="none" w:sz="0" w:space="0" w:color="auto"/>
        <w:bottom w:val="none" w:sz="0" w:space="0" w:color="auto"/>
        <w:right w:val="none" w:sz="0" w:space="0" w:color="auto"/>
      </w:divBdr>
    </w:div>
    <w:div w:id="13894619">
      <w:bodyDiv w:val="1"/>
      <w:marLeft w:val="0"/>
      <w:marRight w:val="0"/>
      <w:marTop w:val="0"/>
      <w:marBottom w:val="0"/>
      <w:divBdr>
        <w:top w:val="none" w:sz="0" w:space="0" w:color="auto"/>
        <w:left w:val="none" w:sz="0" w:space="0" w:color="auto"/>
        <w:bottom w:val="none" w:sz="0" w:space="0" w:color="auto"/>
        <w:right w:val="none" w:sz="0" w:space="0" w:color="auto"/>
      </w:divBdr>
    </w:div>
    <w:div w:id="14117708">
      <w:bodyDiv w:val="1"/>
      <w:marLeft w:val="0"/>
      <w:marRight w:val="0"/>
      <w:marTop w:val="0"/>
      <w:marBottom w:val="0"/>
      <w:divBdr>
        <w:top w:val="none" w:sz="0" w:space="0" w:color="auto"/>
        <w:left w:val="none" w:sz="0" w:space="0" w:color="auto"/>
        <w:bottom w:val="none" w:sz="0" w:space="0" w:color="auto"/>
        <w:right w:val="none" w:sz="0" w:space="0" w:color="auto"/>
      </w:divBdr>
    </w:div>
    <w:div w:id="24713861">
      <w:bodyDiv w:val="1"/>
      <w:marLeft w:val="0"/>
      <w:marRight w:val="0"/>
      <w:marTop w:val="0"/>
      <w:marBottom w:val="0"/>
      <w:divBdr>
        <w:top w:val="none" w:sz="0" w:space="0" w:color="auto"/>
        <w:left w:val="none" w:sz="0" w:space="0" w:color="auto"/>
        <w:bottom w:val="none" w:sz="0" w:space="0" w:color="auto"/>
        <w:right w:val="none" w:sz="0" w:space="0" w:color="auto"/>
      </w:divBdr>
    </w:div>
    <w:div w:id="53739865">
      <w:bodyDiv w:val="1"/>
      <w:marLeft w:val="0"/>
      <w:marRight w:val="0"/>
      <w:marTop w:val="0"/>
      <w:marBottom w:val="0"/>
      <w:divBdr>
        <w:top w:val="none" w:sz="0" w:space="0" w:color="auto"/>
        <w:left w:val="none" w:sz="0" w:space="0" w:color="auto"/>
        <w:bottom w:val="none" w:sz="0" w:space="0" w:color="auto"/>
        <w:right w:val="none" w:sz="0" w:space="0" w:color="auto"/>
      </w:divBdr>
    </w:div>
    <w:div w:id="68160653">
      <w:bodyDiv w:val="1"/>
      <w:marLeft w:val="0"/>
      <w:marRight w:val="0"/>
      <w:marTop w:val="0"/>
      <w:marBottom w:val="0"/>
      <w:divBdr>
        <w:top w:val="none" w:sz="0" w:space="0" w:color="auto"/>
        <w:left w:val="none" w:sz="0" w:space="0" w:color="auto"/>
        <w:bottom w:val="none" w:sz="0" w:space="0" w:color="auto"/>
        <w:right w:val="none" w:sz="0" w:space="0" w:color="auto"/>
      </w:divBdr>
    </w:div>
    <w:div w:id="88432359">
      <w:bodyDiv w:val="1"/>
      <w:marLeft w:val="0"/>
      <w:marRight w:val="0"/>
      <w:marTop w:val="0"/>
      <w:marBottom w:val="0"/>
      <w:divBdr>
        <w:top w:val="none" w:sz="0" w:space="0" w:color="auto"/>
        <w:left w:val="none" w:sz="0" w:space="0" w:color="auto"/>
        <w:bottom w:val="none" w:sz="0" w:space="0" w:color="auto"/>
        <w:right w:val="none" w:sz="0" w:space="0" w:color="auto"/>
      </w:divBdr>
      <w:divsChild>
        <w:div w:id="112408684">
          <w:marLeft w:val="0"/>
          <w:marRight w:val="0"/>
          <w:marTop w:val="0"/>
          <w:marBottom w:val="0"/>
          <w:divBdr>
            <w:top w:val="none" w:sz="0" w:space="0" w:color="auto"/>
            <w:left w:val="none" w:sz="0" w:space="0" w:color="auto"/>
            <w:bottom w:val="none" w:sz="0" w:space="0" w:color="auto"/>
            <w:right w:val="none" w:sz="0" w:space="0" w:color="auto"/>
          </w:divBdr>
        </w:div>
        <w:div w:id="140003315">
          <w:marLeft w:val="0"/>
          <w:marRight w:val="0"/>
          <w:marTop w:val="0"/>
          <w:marBottom w:val="0"/>
          <w:divBdr>
            <w:top w:val="none" w:sz="0" w:space="0" w:color="auto"/>
            <w:left w:val="none" w:sz="0" w:space="0" w:color="auto"/>
            <w:bottom w:val="none" w:sz="0" w:space="0" w:color="auto"/>
            <w:right w:val="none" w:sz="0" w:space="0" w:color="auto"/>
          </w:divBdr>
        </w:div>
        <w:div w:id="401830616">
          <w:marLeft w:val="0"/>
          <w:marRight w:val="0"/>
          <w:marTop w:val="0"/>
          <w:marBottom w:val="0"/>
          <w:divBdr>
            <w:top w:val="none" w:sz="0" w:space="0" w:color="auto"/>
            <w:left w:val="none" w:sz="0" w:space="0" w:color="auto"/>
            <w:bottom w:val="none" w:sz="0" w:space="0" w:color="auto"/>
            <w:right w:val="none" w:sz="0" w:space="0" w:color="auto"/>
          </w:divBdr>
        </w:div>
        <w:div w:id="459879591">
          <w:marLeft w:val="0"/>
          <w:marRight w:val="0"/>
          <w:marTop w:val="0"/>
          <w:marBottom w:val="0"/>
          <w:divBdr>
            <w:top w:val="none" w:sz="0" w:space="0" w:color="auto"/>
            <w:left w:val="none" w:sz="0" w:space="0" w:color="auto"/>
            <w:bottom w:val="none" w:sz="0" w:space="0" w:color="auto"/>
            <w:right w:val="none" w:sz="0" w:space="0" w:color="auto"/>
          </w:divBdr>
        </w:div>
        <w:div w:id="595553186">
          <w:marLeft w:val="0"/>
          <w:marRight w:val="0"/>
          <w:marTop w:val="0"/>
          <w:marBottom w:val="0"/>
          <w:divBdr>
            <w:top w:val="none" w:sz="0" w:space="0" w:color="auto"/>
            <w:left w:val="none" w:sz="0" w:space="0" w:color="auto"/>
            <w:bottom w:val="none" w:sz="0" w:space="0" w:color="auto"/>
            <w:right w:val="none" w:sz="0" w:space="0" w:color="auto"/>
          </w:divBdr>
        </w:div>
        <w:div w:id="600456330">
          <w:marLeft w:val="0"/>
          <w:marRight w:val="0"/>
          <w:marTop w:val="0"/>
          <w:marBottom w:val="0"/>
          <w:divBdr>
            <w:top w:val="none" w:sz="0" w:space="0" w:color="auto"/>
            <w:left w:val="none" w:sz="0" w:space="0" w:color="auto"/>
            <w:bottom w:val="none" w:sz="0" w:space="0" w:color="auto"/>
            <w:right w:val="none" w:sz="0" w:space="0" w:color="auto"/>
          </w:divBdr>
        </w:div>
        <w:div w:id="810829505">
          <w:marLeft w:val="0"/>
          <w:marRight w:val="0"/>
          <w:marTop w:val="0"/>
          <w:marBottom w:val="0"/>
          <w:divBdr>
            <w:top w:val="none" w:sz="0" w:space="0" w:color="auto"/>
            <w:left w:val="none" w:sz="0" w:space="0" w:color="auto"/>
            <w:bottom w:val="none" w:sz="0" w:space="0" w:color="auto"/>
            <w:right w:val="none" w:sz="0" w:space="0" w:color="auto"/>
          </w:divBdr>
        </w:div>
        <w:div w:id="846556352">
          <w:marLeft w:val="0"/>
          <w:marRight w:val="0"/>
          <w:marTop w:val="0"/>
          <w:marBottom w:val="0"/>
          <w:divBdr>
            <w:top w:val="none" w:sz="0" w:space="0" w:color="auto"/>
            <w:left w:val="none" w:sz="0" w:space="0" w:color="auto"/>
            <w:bottom w:val="none" w:sz="0" w:space="0" w:color="auto"/>
            <w:right w:val="none" w:sz="0" w:space="0" w:color="auto"/>
          </w:divBdr>
        </w:div>
        <w:div w:id="1046369830">
          <w:marLeft w:val="0"/>
          <w:marRight w:val="0"/>
          <w:marTop w:val="0"/>
          <w:marBottom w:val="0"/>
          <w:divBdr>
            <w:top w:val="none" w:sz="0" w:space="0" w:color="auto"/>
            <w:left w:val="none" w:sz="0" w:space="0" w:color="auto"/>
            <w:bottom w:val="none" w:sz="0" w:space="0" w:color="auto"/>
            <w:right w:val="none" w:sz="0" w:space="0" w:color="auto"/>
          </w:divBdr>
        </w:div>
        <w:div w:id="1187714406">
          <w:marLeft w:val="0"/>
          <w:marRight w:val="0"/>
          <w:marTop w:val="0"/>
          <w:marBottom w:val="0"/>
          <w:divBdr>
            <w:top w:val="none" w:sz="0" w:space="0" w:color="auto"/>
            <w:left w:val="none" w:sz="0" w:space="0" w:color="auto"/>
            <w:bottom w:val="none" w:sz="0" w:space="0" w:color="auto"/>
            <w:right w:val="none" w:sz="0" w:space="0" w:color="auto"/>
          </w:divBdr>
        </w:div>
        <w:div w:id="1411929570">
          <w:marLeft w:val="0"/>
          <w:marRight w:val="0"/>
          <w:marTop w:val="0"/>
          <w:marBottom w:val="0"/>
          <w:divBdr>
            <w:top w:val="none" w:sz="0" w:space="0" w:color="auto"/>
            <w:left w:val="none" w:sz="0" w:space="0" w:color="auto"/>
            <w:bottom w:val="none" w:sz="0" w:space="0" w:color="auto"/>
            <w:right w:val="none" w:sz="0" w:space="0" w:color="auto"/>
          </w:divBdr>
        </w:div>
        <w:div w:id="1422026610">
          <w:marLeft w:val="0"/>
          <w:marRight w:val="0"/>
          <w:marTop w:val="0"/>
          <w:marBottom w:val="0"/>
          <w:divBdr>
            <w:top w:val="none" w:sz="0" w:space="0" w:color="auto"/>
            <w:left w:val="none" w:sz="0" w:space="0" w:color="auto"/>
            <w:bottom w:val="none" w:sz="0" w:space="0" w:color="auto"/>
            <w:right w:val="none" w:sz="0" w:space="0" w:color="auto"/>
          </w:divBdr>
        </w:div>
        <w:div w:id="1509175989">
          <w:marLeft w:val="0"/>
          <w:marRight w:val="0"/>
          <w:marTop w:val="0"/>
          <w:marBottom w:val="0"/>
          <w:divBdr>
            <w:top w:val="none" w:sz="0" w:space="0" w:color="auto"/>
            <w:left w:val="none" w:sz="0" w:space="0" w:color="auto"/>
            <w:bottom w:val="none" w:sz="0" w:space="0" w:color="auto"/>
            <w:right w:val="none" w:sz="0" w:space="0" w:color="auto"/>
          </w:divBdr>
        </w:div>
        <w:div w:id="1621759815">
          <w:marLeft w:val="0"/>
          <w:marRight w:val="0"/>
          <w:marTop w:val="0"/>
          <w:marBottom w:val="0"/>
          <w:divBdr>
            <w:top w:val="none" w:sz="0" w:space="0" w:color="auto"/>
            <w:left w:val="none" w:sz="0" w:space="0" w:color="auto"/>
            <w:bottom w:val="none" w:sz="0" w:space="0" w:color="auto"/>
            <w:right w:val="none" w:sz="0" w:space="0" w:color="auto"/>
          </w:divBdr>
        </w:div>
        <w:div w:id="1755660662">
          <w:marLeft w:val="0"/>
          <w:marRight w:val="0"/>
          <w:marTop w:val="0"/>
          <w:marBottom w:val="0"/>
          <w:divBdr>
            <w:top w:val="none" w:sz="0" w:space="0" w:color="auto"/>
            <w:left w:val="none" w:sz="0" w:space="0" w:color="auto"/>
            <w:bottom w:val="none" w:sz="0" w:space="0" w:color="auto"/>
            <w:right w:val="none" w:sz="0" w:space="0" w:color="auto"/>
          </w:divBdr>
        </w:div>
        <w:div w:id="1928728948">
          <w:marLeft w:val="0"/>
          <w:marRight w:val="0"/>
          <w:marTop w:val="0"/>
          <w:marBottom w:val="0"/>
          <w:divBdr>
            <w:top w:val="none" w:sz="0" w:space="0" w:color="auto"/>
            <w:left w:val="none" w:sz="0" w:space="0" w:color="auto"/>
            <w:bottom w:val="none" w:sz="0" w:space="0" w:color="auto"/>
            <w:right w:val="none" w:sz="0" w:space="0" w:color="auto"/>
          </w:divBdr>
        </w:div>
        <w:div w:id="1948851522">
          <w:marLeft w:val="0"/>
          <w:marRight w:val="0"/>
          <w:marTop w:val="0"/>
          <w:marBottom w:val="0"/>
          <w:divBdr>
            <w:top w:val="none" w:sz="0" w:space="0" w:color="auto"/>
            <w:left w:val="none" w:sz="0" w:space="0" w:color="auto"/>
            <w:bottom w:val="none" w:sz="0" w:space="0" w:color="auto"/>
            <w:right w:val="none" w:sz="0" w:space="0" w:color="auto"/>
          </w:divBdr>
        </w:div>
        <w:div w:id="2004359024">
          <w:marLeft w:val="0"/>
          <w:marRight w:val="0"/>
          <w:marTop w:val="0"/>
          <w:marBottom w:val="0"/>
          <w:divBdr>
            <w:top w:val="none" w:sz="0" w:space="0" w:color="auto"/>
            <w:left w:val="none" w:sz="0" w:space="0" w:color="auto"/>
            <w:bottom w:val="none" w:sz="0" w:space="0" w:color="auto"/>
            <w:right w:val="none" w:sz="0" w:space="0" w:color="auto"/>
          </w:divBdr>
        </w:div>
        <w:div w:id="2107997992">
          <w:marLeft w:val="0"/>
          <w:marRight w:val="0"/>
          <w:marTop w:val="0"/>
          <w:marBottom w:val="0"/>
          <w:divBdr>
            <w:top w:val="none" w:sz="0" w:space="0" w:color="auto"/>
            <w:left w:val="none" w:sz="0" w:space="0" w:color="auto"/>
            <w:bottom w:val="none" w:sz="0" w:space="0" w:color="auto"/>
            <w:right w:val="none" w:sz="0" w:space="0" w:color="auto"/>
          </w:divBdr>
        </w:div>
      </w:divsChild>
    </w:div>
    <w:div w:id="119418064">
      <w:bodyDiv w:val="1"/>
      <w:marLeft w:val="0"/>
      <w:marRight w:val="0"/>
      <w:marTop w:val="0"/>
      <w:marBottom w:val="0"/>
      <w:divBdr>
        <w:top w:val="none" w:sz="0" w:space="0" w:color="auto"/>
        <w:left w:val="none" w:sz="0" w:space="0" w:color="auto"/>
        <w:bottom w:val="none" w:sz="0" w:space="0" w:color="auto"/>
        <w:right w:val="none" w:sz="0" w:space="0" w:color="auto"/>
      </w:divBdr>
    </w:div>
    <w:div w:id="134878547">
      <w:bodyDiv w:val="1"/>
      <w:marLeft w:val="0"/>
      <w:marRight w:val="0"/>
      <w:marTop w:val="0"/>
      <w:marBottom w:val="0"/>
      <w:divBdr>
        <w:top w:val="none" w:sz="0" w:space="0" w:color="auto"/>
        <w:left w:val="none" w:sz="0" w:space="0" w:color="auto"/>
        <w:bottom w:val="none" w:sz="0" w:space="0" w:color="auto"/>
        <w:right w:val="none" w:sz="0" w:space="0" w:color="auto"/>
      </w:divBdr>
    </w:div>
    <w:div w:id="146167959">
      <w:bodyDiv w:val="1"/>
      <w:marLeft w:val="0"/>
      <w:marRight w:val="0"/>
      <w:marTop w:val="0"/>
      <w:marBottom w:val="0"/>
      <w:divBdr>
        <w:top w:val="none" w:sz="0" w:space="0" w:color="auto"/>
        <w:left w:val="none" w:sz="0" w:space="0" w:color="auto"/>
        <w:bottom w:val="none" w:sz="0" w:space="0" w:color="auto"/>
        <w:right w:val="none" w:sz="0" w:space="0" w:color="auto"/>
      </w:divBdr>
      <w:divsChild>
        <w:div w:id="1092749640">
          <w:marLeft w:val="547"/>
          <w:marRight w:val="0"/>
          <w:marTop w:val="96"/>
          <w:marBottom w:val="0"/>
          <w:divBdr>
            <w:top w:val="none" w:sz="0" w:space="0" w:color="auto"/>
            <w:left w:val="none" w:sz="0" w:space="0" w:color="auto"/>
            <w:bottom w:val="none" w:sz="0" w:space="0" w:color="auto"/>
            <w:right w:val="none" w:sz="0" w:space="0" w:color="auto"/>
          </w:divBdr>
        </w:div>
      </w:divsChild>
    </w:div>
    <w:div w:id="161431994">
      <w:bodyDiv w:val="1"/>
      <w:marLeft w:val="0"/>
      <w:marRight w:val="0"/>
      <w:marTop w:val="0"/>
      <w:marBottom w:val="0"/>
      <w:divBdr>
        <w:top w:val="none" w:sz="0" w:space="0" w:color="auto"/>
        <w:left w:val="none" w:sz="0" w:space="0" w:color="auto"/>
        <w:bottom w:val="none" w:sz="0" w:space="0" w:color="auto"/>
        <w:right w:val="none" w:sz="0" w:space="0" w:color="auto"/>
      </w:divBdr>
    </w:div>
    <w:div w:id="168519218">
      <w:bodyDiv w:val="1"/>
      <w:marLeft w:val="0"/>
      <w:marRight w:val="0"/>
      <w:marTop w:val="0"/>
      <w:marBottom w:val="0"/>
      <w:divBdr>
        <w:top w:val="none" w:sz="0" w:space="0" w:color="auto"/>
        <w:left w:val="none" w:sz="0" w:space="0" w:color="auto"/>
        <w:bottom w:val="none" w:sz="0" w:space="0" w:color="auto"/>
        <w:right w:val="none" w:sz="0" w:space="0" w:color="auto"/>
      </w:divBdr>
    </w:div>
    <w:div w:id="207493706">
      <w:bodyDiv w:val="1"/>
      <w:marLeft w:val="0"/>
      <w:marRight w:val="0"/>
      <w:marTop w:val="0"/>
      <w:marBottom w:val="0"/>
      <w:divBdr>
        <w:top w:val="none" w:sz="0" w:space="0" w:color="auto"/>
        <w:left w:val="none" w:sz="0" w:space="0" w:color="auto"/>
        <w:bottom w:val="none" w:sz="0" w:space="0" w:color="auto"/>
        <w:right w:val="none" w:sz="0" w:space="0" w:color="auto"/>
      </w:divBdr>
    </w:div>
    <w:div w:id="214242827">
      <w:bodyDiv w:val="1"/>
      <w:marLeft w:val="0"/>
      <w:marRight w:val="0"/>
      <w:marTop w:val="0"/>
      <w:marBottom w:val="0"/>
      <w:divBdr>
        <w:top w:val="none" w:sz="0" w:space="0" w:color="auto"/>
        <w:left w:val="none" w:sz="0" w:space="0" w:color="auto"/>
        <w:bottom w:val="none" w:sz="0" w:space="0" w:color="auto"/>
        <w:right w:val="none" w:sz="0" w:space="0" w:color="auto"/>
      </w:divBdr>
    </w:div>
    <w:div w:id="223755373">
      <w:bodyDiv w:val="1"/>
      <w:marLeft w:val="0"/>
      <w:marRight w:val="0"/>
      <w:marTop w:val="0"/>
      <w:marBottom w:val="0"/>
      <w:divBdr>
        <w:top w:val="none" w:sz="0" w:space="0" w:color="auto"/>
        <w:left w:val="none" w:sz="0" w:space="0" w:color="auto"/>
        <w:bottom w:val="none" w:sz="0" w:space="0" w:color="auto"/>
        <w:right w:val="none" w:sz="0" w:space="0" w:color="auto"/>
      </w:divBdr>
    </w:div>
    <w:div w:id="224679314">
      <w:bodyDiv w:val="1"/>
      <w:marLeft w:val="0"/>
      <w:marRight w:val="0"/>
      <w:marTop w:val="0"/>
      <w:marBottom w:val="0"/>
      <w:divBdr>
        <w:top w:val="none" w:sz="0" w:space="0" w:color="auto"/>
        <w:left w:val="none" w:sz="0" w:space="0" w:color="auto"/>
        <w:bottom w:val="none" w:sz="0" w:space="0" w:color="auto"/>
        <w:right w:val="none" w:sz="0" w:space="0" w:color="auto"/>
      </w:divBdr>
    </w:div>
    <w:div w:id="268589189">
      <w:bodyDiv w:val="1"/>
      <w:marLeft w:val="0"/>
      <w:marRight w:val="0"/>
      <w:marTop w:val="0"/>
      <w:marBottom w:val="0"/>
      <w:divBdr>
        <w:top w:val="none" w:sz="0" w:space="0" w:color="auto"/>
        <w:left w:val="none" w:sz="0" w:space="0" w:color="auto"/>
        <w:bottom w:val="none" w:sz="0" w:space="0" w:color="auto"/>
        <w:right w:val="none" w:sz="0" w:space="0" w:color="auto"/>
      </w:divBdr>
    </w:div>
    <w:div w:id="288780471">
      <w:bodyDiv w:val="1"/>
      <w:marLeft w:val="0"/>
      <w:marRight w:val="0"/>
      <w:marTop w:val="0"/>
      <w:marBottom w:val="0"/>
      <w:divBdr>
        <w:top w:val="none" w:sz="0" w:space="0" w:color="auto"/>
        <w:left w:val="none" w:sz="0" w:space="0" w:color="auto"/>
        <w:bottom w:val="none" w:sz="0" w:space="0" w:color="auto"/>
        <w:right w:val="none" w:sz="0" w:space="0" w:color="auto"/>
      </w:divBdr>
    </w:div>
    <w:div w:id="293562637">
      <w:bodyDiv w:val="1"/>
      <w:marLeft w:val="0"/>
      <w:marRight w:val="0"/>
      <w:marTop w:val="0"/>
      <w:marBottom w:val="0"/>
      <w:divBdr>
        <w:top w:val="none" w:sz="0" w:space="0" w:color="auto"/>
        <w:left w:val="none" w:sz="0" w:space="0" w:color="auto"/>
        <w:bottom w:val="none" w:sz="0" w:space="0" w:color="auto"/>
        <w:right w:val="none" w:sz="0" w:space="0" w:color="auto"/>
      </w:divBdr>
    </w:div>
    <w:div w:id="295331346">
      <w:bodyDiv w:val="1"/>
      <w:marLeft w:val="0"/>
      <w:marRight w:val="0"/>
      <w:marTop w:val="0"/>
      <w:marBottom w:val="0"/>
      <w:divBdr>
        <w:top w:val="none" w:sz="0" w:space="0" w:color="auto"/>
        <w:left w:val="none" w:sz="0" w:space="0" w:color="auto"/>
        <w:bottom w:val="none" w:sz="0" w:space="0" w:color="auto"/>
        <w:right w:val="none" w:sz="0" w:space="0" w:color="auto"/>
      </w:divBdr>
    </w:div>
    <w:div w:id="324745393">
      <w:bodyDiv w:val="1"/>
      <w:marLeft w:val="0"/>
      <w:marRight w:val="0"/>
      <w:marTop w:val="0"/>
      <w:marBottom w:val="0"/>
      <w:divBdr>
        <w:top w:val="none" w:sz="0" w:space="0" w:color="auto"/>
        <w:left w:val="none" w:sz="0" w:space="0" w:color="auto"/>
        <w:bottom w:val="none" w:sz="0" w:space="0" w:color="auto"/>
        <w:right w:val="none" w:sz="0" w:space="0" w:color="auto"/>
      </w:divBdr>
      <w:divsChild>
        <w:div w:id="19479730">
          <w:marLeft w:val="0"/>
          <w:marRight w:val="0"/>
          <w:marTop w:val="0"/>
          <w:marBottom w:val="0"/>
          <w:divBdr>
            <w:top w:val="none" w:sz="0" w:space="0" w:color="auto"/>
            <w:left w:val="none" w:sz="0" w:space="0" w:color="auto"/>
            <w:bottom w:val="none" w:sz="0" w:space="0" w:color="auto"/>
            <w:right w:val="none" w:sz="0" w:space="0" w:color="auto"/>
          </w:divBdr>
        </w:div>
        <w:div w:id="323364240">
          <w:marLeft w:val="0"/>
          <w:marRight w:val="0"/>
          <w:marTop w:val="0"/>
          <w:marBottom w:val="0"/>
          <w:divBdr>
            <w:top w:val="none" w:sz="0" w:space="0" w:color="auto"/>
            <w:left w:val="none" w:sz="0" w:space="0" w:color="auto"/>
            <w:bottom w:val="none" w:sz="0" w:space="0" w:color="auto"/>
            <w:right w:val="none" w:sz="0" w:space="0" w:color="auto"/>
          </w:divBdr>
        </w:div>
        <w:div w:id="450787409">
          <w:marLeft w:val="0"/>
          <w:marRight w:val="0"/>
          <w:marTop w:val="0"/>
          <w:marBottom w:val="0"/>
          <w:divBdr>
            <w:top w:val="none" w:sz="0" w:space="0" w:color="auto"/>
            <w:left w:val="none" w:sz="0" w:space="0" w:color="auto"/>
            <w:bottom w:val="none" w:sz="0" w:space="0" w:color="auto"/>
            <w:right w:val="none" w:sz="0" w:space="0" w:color="auto"/>
          </w:divBdr>
        </w:div>
        <w:div w:id="470438453">
          <w:marLeft w:val="0"/>
          <w:marRight w:val="0"/>
          <w:marTop w:val="0"/>
          <w:marBottom w:val="0"/>
          <w:divBdr>
            <w:top w:val="none" w:sz="0" w:space="0" w:color="auto"/>
            <w:left w:val="none" w:sz="0" w:space="0" w:color="auto"/>
            <w:bottom w:val="none" w:sz="0" w:space="0" w:color="auto"/>
            <w:right w:val="none" w:sz="0" w:space="0" w:color="auto"/>
          </w:divBdr>
        </w:div>
        <w:div w:id="1216773853">
          <w:marLeft w:val="0"/>
          <w:marRight w:val="0"/>
          <w:marTop w:val="0"/>
          <w:marBottom w:val="0"/>
          <w:divBdr>
            <w:top w:val="none" w:sz="0" w:space="0" w:color="auto"/>
            <w:left w:val="none" w:sz="0" w:space="0" w:color="auto"/>
            <w:bottom w:val="none" w:sz="0" w:space="0" w:color="auto"/>
            <w:right w:val="none" w:sz="0" w:space="0" w:color="auto"/>
          </w:divBdr>
        </w:div>
        <w:div w:id="1516383319">
          <w:marLeft w:val="0"/>
          <w:marRight w:val="0"/>
          <w:marTop w:val="0"/>
          <w:marBottom w:val="0"/>
          <w:divBdr>
            <w:top w:val="none" w:sz="0" w:space="0" w:color="auto"/>
            <w:left w:val="none" w:sz="0" w:space="0" w:color="auto"/>
            <w:bottom w:val="none" w:sz="0" w:space="0" w:color="auto"/>
            <w:right w:val="none" w:sz="0" w:space="0" w:color="auto"/>
          </w:divBdr>
        </w:div>
        <w:div w:id="1676571611">
          <w:marLeft w:val="0"/>
          <w:marRight w:val="0"/>
          <w:marTop w:val="0"/>
          <w:marBottom w:val="0"/>
          <w:divBdr>
            <w:top w:val="none" w:sz="0" w:space="0" w:color="auto"/>
            <w:left w:val="none" w:sz="0" w:space="0" w:color="auto"/>
            <w:bottom w:val="none" w:sz="0" w:space="0" w:color="auto"/>
            <w:right w:val="none" w:sz="0" w:space="0" w:color="auto"/>
          </w:divBdr>
        </w:div>
      </w:divsChild>
    </w:div>
    <w:div w:id="353044221">
      <w:bodyDiv w:val="1"/>
      <w:marLeft w:val="0"/>
      <w:marRight w:val="0"/>
      <w:marTop w:val="0"/>
      <w:marBottom w:val="0"/>
      <w:divBdr>
        <w:top w:val="none" w:sz="0" w:space="0" w:color="auto"/>
        <w:left w:val="none" w:sz="0" w:space="0" w:color="auto"/>
        <w:bottom w:val="none" w:sz="0" w:space="0" w:color="auto"/>
        <w:right w:val="none" w:sz="0" w:space="0" w:color="auto"/>
      </w:divBdr>
    </w:div>
    <w:div w:id="361562910">
      <w:bodyDiv w:val="1"/>
      <w:marLeft w:val="0"/>
      <w:marRight w:val="0"/>
      <w:marTop w:val="0"/>
      <w:marBottom w:val="0"/>
      <w:divBdr>
        <w:top w:val="none" w:sz="0" w:space="0" w:color="auto"/>
        <w:left w:val="none" w:sz="0" w:space="0" w:color="auto"/>
        <w:bottom w:val="none" w:sz="0" w:space="0" w:color="auto"/>
        <w:right w:val="none" w:sz="0" w:space="0" w:color="auto"/>
      </w:divBdr>
    </w:div>
    <w:div w:id="383263552">
      <w:bodyDiv w:val="1"/>
      <w:marLeft w:val="0"/>
      <w:marRight w:val="0"/>
      <w:marTop w:val="0"/>
      <w:marBottom w:val="0"/>
      <w:divBdr>
        <w:top w:val="none" w:sz="0" w:space="0" w:color="auto"/>
        <w:left w:val="none" w:sz="0" w:space="0" w:color="auto"/>
        <w:bottom w:val="none" w:sz="0" w:space="0" w:color="auto"/>
        <w:right w:val="none" w:sz="0" w:space="0" w:color="auto"/>
      </w:divBdr>
    </w:div>
    <w:div w:id="407193815">
      <w:bodyDiv w:val="1"/>
      <w:marLeft w:val="0"/>
      <w:marRight w:val="0"/>
      <w:marTop w:val="0"/>
      <w:marBottom w:val="0"/>
      <w:divBdr>
        <w:top w:val="none" w:sz="0" w:space="0" w:color="auto"/>
        <w:left w:val="none" w:sz="0" w:space="0" w:color="auto"/>
        <w:bottom w:val="none" w:sz="0" w:space="0" w:color="auto"/>
        <w:right w:val="none" w:sz="0" w:space="0" w:color="auto"/>
      </w:divBdr>
    </w:div>
    <w:div w:id="448015458">
      <w:bodyDiv w:val="1"/>
      <w:marLeft w:val="0"/>
      <w:marRight w:val="0"/>
      <w:marTop w:val="0"/>
      <w:marBottom w:val="0"/>
      <w:divBdr>
        <w:top w:val="none" w:sz="0" w:space="0" w:color="auto"/>
        <w:left w:val="none" w:sz="0" w:space="0" w:color="auto"/>
        <w:bottom w:val="none" w:sz="0" w:space="0" w:color="auto"/>
        <w:right w:val="none" w:sz="0" w:space="0" w:color="auto"/>
      </w:divBdr>
    </w:div>
    <w:div w:id="469634167">
      <w:bodyDiv w:val="1"/>
      <w:marLeft w:val="0"/>
      <w:marRight w:val="0"/>
      <w:marTop w:val="0"/>
      <w:marBottom w:val="0"/>
      <w:divBdr>
        <w:top w:val="none" w:sz="0" w:space="0" w:color="auto"/>
        <w:left w:val="none" w:sz="0" w:space="0" w:color="auto"/>
        <w:bottom w:val="none" w:sz="0" w:space="0" w:color="auto"/>
        <w:right w:val="none" w:sz="0" w:space="0" w:color="auto"/>
      </w:divBdr>
    </w:div>
    <w:div w:id="526915037">
      <w:bodyDiv w:val="1"/>
      <w:marLeft w:val="0"/>
      <w:marRight w:val="0"/>
      <w:marTop w:val="0"/>
      <w:marBottom w:val="0"/>
      <w:divBdr>
        <w:top w:val="none" w:sz="0" w:space="0" w:color="auto"/>
        <w:left w:val="none" w:sz="0" w:space="0" w:color="auto"/>
        <w:bottom w:val="none" w:sz="0" w:space="0" w:color="auto"/>
        <w:right w:val="none" w:sz="0" w:space="0" w:color="auto"/>
      </w:divBdr>
    </w:div>
    <w:div w:id="539899776">
      <w:bodyDiv w:val="1"/>
      <w:marLeft w:val="0"/>
      <w:marRight w:val="0"/>
      <w:marTop w:val="0"/>
      <w:marBottom w:val="0"/>
      <w:divBdr>
        <w:top w:val="none" w:sz="0" w:space="0" w:color="auto"/>
        <w:left w:val="none" w:sz="0" w:space="0" w:color="auto"/>
        <w:bottom w:val="none" w:sz="0" w:space="0" w:color="auto"/>
        <w:right w:val="none" w:sz="0" w:space="0" w:color="auto"/>
      </w:divBdr>
    </w:div>
    <w:div w:id="575827045">
      <w:bodyDiv w:val="1"/>
      <w:marLeft w:val="0"/>
      <w:marRight w:val="0"/>
      <w:marTop w:val="0"/>
      <w:marBottom w:val="0"/>
      <w:divBdr>
        <w:top w:val="none" w:sz="0" w:space="0" w:color="auto"/>
        <w:left w:val="none" w:sz="0" w:space="0" w:color="auto"/>
        <w:bottom w:val="none" w:sz="0" w:space="0" w:color="auto"/>
        <w:right w:val="none" w:sz="0" w:space="0" w:color="auto"/>
      </w:divBdr>
    </w:div>
    <w:div w:id="578909619">
      <w:bodyDiv w:val="1"/>
      <w:marLeft w:val="0"/>
      <w:marRight w:val="0"/>
      <w:marTop w:val="0"/>
      <w:marBottom w:val="0"/>
      <w:divBdr>
        <w:top w:val="none" w:sz="0" w:space="0" w:color="auto"/>
        <w:left w:val="none" w:sz="0" w:space="0" w:color="auto"/>
        <w:bottom w:val="none" w:sz="0" w:space="0" w:color="auto"/>
        <w:right w:val="none" w:sz="0" w:space="0" w:color="auto"/>
      </w:divBdr>
    </w:div>
    <w:div w:id="607587322">
      <w:bodyDiv w:val="1"/>
      <w:marLeft w:val="0"/>
      <w:marRight w:val="0"/>
      <w:marTop w:val="0"/>
      <w:marBottom w:val="0"/>
      <w:divBdr>
        <w:top w:val="none" w:sz="0" w:space="0" w:color="auto"/>
        <w:left w:val="none" w:sz="0" w:space="0" w:color="auto"/>
        <w:bottom w:val="none" w:sz="0" w:space="0" w:color="auto"/>
        <w:right w:val="none" w:sz="0" w:space="0" w:color="auto"/>
      </w:divBdr>
    </w:div>
    <w:div w:id="630938661">
      <w:bodyDiv w:val="1"/>
      <w:marLeft w:val="0"/>
      <w:marRight w:val="0"/>
      <w:marTop w:val="0"/>
      <w:marBottom w:val="0"/>
      <w:divBdr>
        <w:top w:val="none" w:sz="0" w:space="0" w:color="auto"/>
        <w:left w:val="none" w:sz="0" w:space="0" w:color="auto"/>
        <w:bottom w:val="none" w:sz="0" w:space="0" w:color="auto"/>
        <w:right w:val="none" w:sz="0" w:space="0" w:color="auto"/>
      </w:divBdr>
    </w:div>
    <w:div w:id="648049246">
      <w:bodyDiv w:val="1"/>
      <w:marLeft w:val="0"/>
      <w:marRight w:val="0"/>
      <w:marTop w:val="0"/>
      <w:marBottom w:val="0"/>
      <w:divBdr>
        <w:top w:val="none" w:sz="0" w:space="0" w:color="auto"/>
        <w:left w:val="none" w:sz="0" w:space="0" w:color="auto"/>
        <w:bottom w:val="none" w:sz="0" w:space="0" w:color="auto"/>
        <w:right w:val="none" w:sz="0" w:space="0" w:color="auto"/>
      </w:divBdr>
    </w:div>
    <w:div w:id="690837652">
      <w:bodyDiv w:val="1"/>
      <w:marLeft w:val="0"/>
      <w:marRight w:val="0"/>
      <w:marTop w:val="0"/>
      <w:marBottom w:val="0"/>
      <w:divBdr>
        <w:top w:val="none" w:sz="0" w:space="0" w:color="auto"/>
        <w:left w:val="none" w:sz="0" w:space="0" w:color="auto"/>
        <w:bottom w:val="none" w:sz="0" w:space="0" w:color="auto"/>
        <w:right w:val="none" w:sz="0" w:space="0" w:color="auto"/>
      </w:divBdr>
    </w:div>
    <w:div w:id="707417395">
      <w:bodyDiv w:val="1"/>
      <w:marLeft w:val="0"/>
      <w:marRight w:val="0"/>
      <w:marTop w:val="0"/>
      <w:marBottom w:val="0"/>
      <w:divBdr>
        <w:top w:val="none" w:sz="0" w:space="0" w:color="auto"/>
        <w:left w:val="none" w:sz="0" w:space="0" w:color="auto"/>
        <w:bottom w:val="none" w:sz="0" w:space="0" w:color="auto"/>
        <w:right w:val="none" w:sz="0" w:space="0" w:color="auto"/>
      </w:divBdr>
    </w:div>
    <w:div w:id="714696315">
      <w:bodyDiv w:val="1"/>
      <w:marLeft w:val="0"/>
      <w:marRight w:val="0"/>
      <w:marTop w:val="0"/>
      <w:marBottom w:val="0"/>
      <w:divBdr>
        <w:top w:val="none" w:sz="0" w:space="0" w:color="auto"/>
        <w:left w:val="none" w:sz="0" w:space="0" w:color="auto"/>
        <w:bottom w:val="none" w:sz="0" w:space="0" w:color="auto"/>
        <w:right w:val="none" w:sz="0" w:space="0" w:color="auto"/>
      </w:divBdr>
    </w:div>
    <w:div w:id="720520394">
      <w:bodyDiv w:val="1"/>
      <w:marLeft w:val="0"/>
      <w:marRight w:val="0"/>
      <w:marTop w:val="0"/>
      <w:marBottom w:val="0"/>
      <w:divBdr>
        <w:top w:val="none" w:sz="0" w:space="0" w:color="auto"/>
        <w:left w:val="none" w:sz="0" w:space="0" w:color="auto"/>
        <w:bottom w:val="none" w:sz="0" w:space="0" w:color="auto"/>
        <w:right w:val="none" w:sz="0" w:space="0" w:color="auto"/>
      </w:divBdr>
      <w:divsChild>
        <w:div w:id="325937174">
          <w:marLeft w:val="547"/>
          <w:marRight w:val="0"/>
          <w:marTop w:val="0"/>
          <w:marBottom w:val="0"/>
          <w:divBdr>
            <w:top w:val="none" w:sz="0" w:space="0" w:color="auto"/>
            <w:left w:val="none" w:sz="0" w:space="0" w:color="auto"/>
            <w:bottom w:val="none" w:sz="0" w:space="0" w:color="auto"/>
            <w:right w:val="none" w:sz="0" w:space="0" w:color="auto"/>
          </w:divBdr>
        </w:div>
      </w:divsChild>
    </w:div>
    <w:div w:id="733116444">
      <w:bodyDiv w:val="1"/>
      <w:marLeft w:val="0"/>
      <w:marRight w:val="0"/>
      <w:marTop w:val="0"/>
      <w:marBottom w:val="0"/>
      <w:divBdr>
        <w:top w:val="none" w:sz="0" w:space="0" w:color="auto"/>
        <w:left w:val="none" w:sz="0" w:space="0" w:color="auto"/>
        <w:bottom w:val="none" w:sz="0" w:space="0" w:color="auto"/>
        <w:right w:val="none" w:sz="0" w:space="0" w:color="auto"/>
      </w:divBdr>
    </w:div>
    <w:div w:id="736394670">
      <w:bodyDiv w:val="1"/>
      <w:marLeft w:val="0"/>
      <w:marRight w:val="0"/>
      <w:marTop w:val="0"/>
      <w:marBottom w:val="0"/>
      <w:divBdr>
        <w:top w:val="none" w:sz="0" w:space="0" w:color="auto"/>
        <w:left w:val="none" w:sz="0" w:space="0" w:color="auto"/>
        <w:bottom w:val="none" w:sz="0" w:space="0" w:color="auto"/>
        <w:right w:val="none" w:sz="0" w:space="0" w:color="auto"/>
      </w:divBdr>
    </w:div>
    <w:div w:id="741219485">
      <w:bodyDiv w:val="1"/>
      <w:marLeft w:val="0"/>
      <w:marRight w:val="0"/>
      <w:marTop w:val="0"/>
      <w:marBottom w:val="0"/>
      <w:divBdr>
        <w:top w:val="none" w:sz="0" w:space="0" w:color="auto"/>
        <w:left w:val="none" w:sz="0" w:space="0" w:color="auto"/>
        <w:bottom w:val="none" w:sz="0" w:space="0" w:color="auto"/>
        <w:right w:val="none" w:sz="0" w:space="0" w:color="auto"/>
      </w:divBdr>
    </w:div>
    <w:div w:id="747313013">
      <w:bodyDiv w:val="1"/>
      <w:marLeft w:val="0"/>
      <w:marRight w:val="0"/>
      <w:marTop w:val="0"/>
      <w:marBottom w:val="0"/>
      <w:divBdr>
        <w:top w:val="none" w:sz="0" w:space="0" w:color="auto"/>
        <w:left w:val="none" w:sz="0" w:space="0" w:color="auto"/>
        <w:bottom w:val="none" w:sz="0" w:space="0" w:color="auto"/>
        <w:right w:val="none" w:sz="0" w:space="0" w:color="auto"/>
      </w:divBdr>
    </w:div>
    <w:div w:id="761494320">
      <w:bodyDiv w:val="1"/>
      <w:marLeft w:val="0"/>
      <w:marRight w:val="0"/>
      <w:marTop w:val="0"/>
      <w:marBottom w:val="0"/>
      <w:divBdr>
        <w:top w:val="none" w:sz="0" w:space="0" w:color="auto"/>
        <w:left w:val="none" w:sz="0" w:space="0" w:color="auto"/>
        <w:bottom w:val="none" w:sz="0" w:space="0" w:color="auto"/>
        <w:right w:val="none" w:sz="0" w:space="0" w:color="auto"/>
      </w:divBdr>
    </w:div>
    <w:div w:id="803352023">
      <w:bodyDiv w:val="1"/>
      <w:marLeft w:val="0"/>
      <w:marRight w:val="0"/>
      <w:marTop w:val="0"/>
      <w:marBottom w:val="0"/>
      <w:divBdr>
        <w:top w:val="none" w:sz="0" w:space="0" w:color="auto"/>
        <w:left w:val="none" w:sz="0" w:space="0" w:color="auto"/>
        <w:bottom w:val="none" w:sz="0" w:space="0" w:color="auto"/>
        <w:right w:val="none" w:sz="0" w:space="0" w:color="auto"/>
      </w:divBdr>
    </w:div>
    <w:div w:id="806969089">
      <w:bodyDiv w:val="1"/>
      <w:marLeft w:val="0"/>
      <w:marRight w:val="0"/>
      <w:marTop w:val="0"/>
      <w:marBottom w:val="0"/>
      <w:divBdr>
        <w:top w:val="none" w:sz="0" w:space="0" w:color="auto"/>
        <w:left w:val="none" w:sz="0" w:space="0" w:color="auto"/>
        <w:bottom w:val="none" w:sz="0" w:space="0" w:color="auto"/>
        <w:right w:val="none" w:sz="0" w:space="0" w:color="auto"/>
      </w:divBdr>
    </w:div>
    <w:div w:id="814374703">
      <w:bodyDiv w:val="1"/>
      <w:marLeft w:val="0"/>
      <w:marRight w:val="0"/>
      <w:marTop w:val="0"/>
      <w:marBottom w:val="0"/>
      <w:divBdr>
        <w:top w:val="none" w:sz="0" w:space="0" w:color="auto"/>
        <w:left w:val="none" w:sz="0" w:space="0" w:color="auto"/>
        <w:bottom w:val="none" w:sz="0" w:space="0" w:color="auto"/>
        <w:right w:val="none" w:sz="0" w:space="0" w:color="auto"/>
      </w:divBdr>
    </w:div>
    <w:div w:id="848178965">
      <w:bodyDiv w:val="1"/>
      <w:marLeft w:val="0"/>
      <w:marRight w:val="0"/>
      <w:marTop w:val="0"/>
      <w:marBottom w:val="0"/>
      <w:divBdr>
        <w:top w:val="none" w:sz="0" w:space="0" w:color="auto"/>
        <w:left w:val="none" w:sz="0" w:space="0" w:color="auto"/>
        <w:bottom w:val="none" w:sz="0" w:space="0" w:color="auto"/>
        <w:right w:val="none" w:sz="0" w:space="0" w:color="auto"/>
      </w:divBdr>
    </w:div>
    <w:div w:id="859661165">
      <w:bodyDiv w:val="1"/>
      <w:marLeft w:val="0"/>
      <w:marRight w:val="0"/>
      <w:marTop w:val="0"/>
      <w:marBottom w:val="0"/>
      <w:divBdr>
        <w:top w:val="none" w:sz="0" w:space="0" w:color="auto"/>
        <w:left w:val="none" w:sz="0" w:space="0" w:color="auto"/>
        <w:bottom w:val="none" w:sz="0" w:space="0" w:color="auto"/>
        <w:right w:val="none" w:sz="0" w:space="0" w:color="auto"/>
      </w:divBdr>
    </w:div>
    <w:div w:id="869562374">
      <w:bodyDiv w:val="1"/>
      <w:marLeft w:val="0"/>
      <w:marRight w:val="0"/>
      <w:marTop w:val="0"/>
      <w:marBottom w:val="0"/>
      <w:divBdr>
        <w:top w:val="none" w:sz="0" w:space="0" w:color="auto"/>
        <w:left w:val="none" w:sz="0" w:space="0" w:color="auto"/>
        <w:bottom w:val="none" w:sz="0" w:space="0" w:color="auto"/>
        <w:right w:val="none" w:sz="0" w:space="0" w:color="auto"/>
      </w:divBdr>
    </w:div>
    <w:div w:id="904415270">
      <w:bodyDiv w:val="1"/>
      <w:marLeft w:val="0"/>
      <w:marRight w:val="0"/>
      <w:marTop w:val="0"/>
      <w:marBottom w:val="0"/>
      <w:divBdr>
        <w:top w:val="none" w:sz="0" w:space="0" w:color="auto"/>
        <w:left w:val="none" w:sz="0" w:space="0" w:color="auto"/>
        <w:bottom w:val="none" w:sz="0" w:space="0" w:color="auto"/>
        <w:right w:val="none" w:sz="0" w:space="0" w:color="auto"/>
      </w:divBdr>
    </w:div>
    <w:div w:id="940800084">
      <w:bodyDiv w:val="1"/>
      <w:marLeft w:val="0"/>
      <w:marRight w:val="0"/>
      <w:marTop w:val="0"/>
      <w:marBottom w:val="0"/>
      <w:divBdr>
        <w:top w:val="none" w:sz="0" w:space="0" w:color="auto"/>
        <w:left w:val="none" w:sz="0" w:space="0" w:color="auto"/>
        <w:bottom w:val="none" w:sz="0" w:space="0" w:color="auto"/>
        <w:right w:val="none" w:sz="0" w:space="0" w:color="auto"/>
      </w:divBdr>
    </w:div>
    <w:div w:id="94334471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52787897">
      <w:bodyDiv w:val="1"/>
      <w:marLeft w:val="0"/>
      <w:marRight w:val="0"/>
      <w:marTop w:val="0"/>
      <w:marBottom w:val="0"/>
      <w:divBdr>
        <w:top w:val="none" w:sz="0" w:space="0" w:color="auto"/>
        <w:left w:val="none" w:sz="0" w:space="0" w:color="auto"/>
        <w:bottom w:val="none" w:sz="0" w:space="0" w:color="auto"/>
        <w:right w:val="none" w:sz="0" w:space="0" w:color="auto"/>
      </w:divBdr>
    </w:div>
    <w:div w:id="955523848">
      <w:bodyDiv w:val="1"/>
      <w:marLeft w:val="0"/>
      <w:marRight w:val="0"/>
      <w:marTop w:val="0"/>
      <w:marBottom w:val="0"/>
      <w:divBdr>
        <w:top w:val="none" w:sz="0" w:space="0" w:color="auto"/>
        <w:left w:val="none" w:sz="0" w:space="0" w:color="auto"/>
        <w:bottom w:val="none" w:sz="0" w:space="0" w:color="auto"/>
        <w:right w:val="none" w:sz="0" w:space="0" w:color="auto"/>
      </w:divBdr>
    </w:div>
    <w:div w:id="964696549">
      <w:bodyDiv w:val="1"/>
      <w:marLeft w:val="0"/>
      <w:marRight w:val="0"/>
      <w:marTop w:val="0"/>
      <w:marBottom w:val="0"/>
      <w:divBdr>
        <w:top w:val="none" w:sz="0" w:space="0" w:color="auto"/>
        <w:left w:val="none" w:sz="0" w:space="0" w:color="auto"/>
        <w:bottom w:val="none" w:sz="0" w:space="0" w:color="auto"/>
        <w:right w:val="none" w:sz="0" w:space="0" w:color="auto"/>
      </w:divBdr>
    </w:div>
    <w:div w:id="1003438027">
      <w:bodyDiv w:val="1"/>
      <w:marLeft w:val="0"/>
      <w:marRight w:val="0"/>
      <w:marTop w:val="0"/>
      <w:marBottom w:val="0"/>
      <w:divBdr>
        <w:top w:val="none" w:sz="0" w:space="0" w:color="auto"/>
        <w:left w:val="none" w:sz="0" w:space="0" w:color="auto"/>
        <w:bottom w:val="none" w:sz="0" w:space="0" w:color="auto"/>
        <w:right w:val="none" w:sz="0" w:space="0" w:color="auto"/>
      </w:divBdr>
    </w:div>
    <w:div w:id="1022626590">
      <w:bodyDiv w:val="1"/>
      <w:marLeft w:val="0"/>
      <w:marRight w:val="0"/>
      <w:marTop w:val="0"/>
      <w:marBottom w:val="0"/>
      <w:divBdr>
        <w:top w:val="none" w:sz="0" w:space="0" w:color="auto"/>
        <w:left w:val="none" w:sz="0" w:space="0" w:color="auto"/>
        <w:bottom w:val="none" w:sz="0" w:space="0" w:color="auto"/>
        <w:right w:val="none" w:sz="0" w:space="0" w:color="auto"/>
      </w:divBdr>
    </w:div>
    <w:div w:id="1024555966">
      <w:bodyDiv w:val="1"/>
      <w:marLeft w:val="0"/>
      <w:marRight w:val="0"/>
      <w:marTop w:val="0"/>
      <w:marBottom w:val="0"/>
      <w:divBdr>
        <w:top w:val="none" w:sz="0" w:space="0" w:color="auto"/>
        <w:left w:val="none" w:sz="0" w:space="0" w:color="auto"/>
        <w:bottom w:val="none" w:sz="0" w:space="0" w:color="auto"/>
        <w:right w:val="none" w:sz="0" w:space="0" w:color="auto"/>
      </w:divBdr>
    </w:div>
    <w:div w:id="1025136218">
      <w:bodyDiv w:val="1"/>
      <w:marLeft w:val="0"/>
      <w:marRight w:val="0"/>
      <w:marTop w:val="0"/>
      <w:marBottom w:val="0"/>
      <w:divBdr>
        <w:top w:val="none" w:sz="0" w:space="0" w:color="auto"/>
        <w:left w:val="none" w:sz="0" w:space="0" w:color="auto"/>
        <w:bottom w:val="none" w:sz="0" w:space="0" w:color="auto"/>
        <w:right w:val="none" w:sz="0" w:space="0" w:color="auto"/>
      </w:divBdr>
    </w:div>
    <w:div w:id="1030109874">
      <w:bodyDiv w:val="1"/>
      <w:marLeft w:val="0"/>
      <w:marRight w:val="0"/>
      <w:marTop w:val="0"/>
      <w:marBottom w:val="0"/>
      <w:divBdr>
        <w:top w:val="none" w:sz="0" w:space="0" w:color="auto"/>
        <w:left w:val="none" w:sz="0" w:space="0" w:color="auto"/>
        <w:bottom w:val="none" w:sz="0" w:space="0" w:color="auto"/>
        <w:right w:val="none" w:sz="0" w:space="0" w:color="auto"/>
      </w:divBdr>
    </w:div>
    <w:div w:id="1046296638">
      <w:bodyDiv w:val="1"/>
      <w:marLeft w:val="0"/>
      <w:marRight w:val="0"/>
      <w:marTop w:val="0"/>
      <w:marBottom w:val="0"/>
      <w:divBdr>
        <w:top w:val="none" w:sz="0" w:space="0" w:color="auto"/>
        <w:left w:val="none" w:sz="0" w:space="0" w:color="auto"/>
        <w:bottom w:val="none" w:sz="0" w:space="0" w:color="auto"/>
        <w:right w:val="none" w:sz="0" w:space="0" w:color="auto"/>
      </w:divBdr>
    </w:div>
    <w:div w:id="1046682228">
      <w:bodyDiv w:val="1"/>
      <w:marLeft w:val="0"/>
      <w:marRight w:val="0"/>
      <w:marTop w:val="0"/>
      <w:marBottom w:val="0"/>
      <w:divBdr>
        <w:top w:val="none" w:sz="0" w:space="0" w:color="auto"/>
        <w:left w:val="none" w:sz="0" w:space="0" w:color="auto"/>
        <w:bottom w:val="none" w:sz="0" w:space="0" w:color="auto"/>
        <w:right w:val="none" w:sz="0" w:space="0" w:color="auto"/>
      </w:divBdr>
    </w:div>
    <w:div w:id="1048914206">
      <w:bodyDiv w:val="1"/>
      <w:marLeft w:val="0"/>
      <w:marRight w:val="0"/>
      <w:marTop w:val="0"/>
      <w:marBottom w:val="0"/>
      <w:divBdr>
        <w:top w:val="none" w:sz="0" w:space="0" w:color="auto"/>
        <w:left w:val="none" w:sz="0" w:space="0" w:color="auto"/>
        <w:bottom w:val="none" w:sz="0" w:space="0" w:color="auto"/>
        <w:right w:val="none" w:sz="0" w:space="0" w:color="auto"/>
      </w:divBdr>
    </w:div>
    <w:div w:id="1059326717">
      <w:bodyDiv w:val="1"/>
      <w:marLeft w:val="0"/>
      <w:marRight w:val="0"/>
      <w:marTop w:val="0"/>
      <w:marBottom w:val="0"/>
      <w:divBdr>
        <w:top w:val="none" w:sz="0" w:space="0" w:color="auto"/>
        <w:left w:val="none" w:sz="0" w:space="0" w:color="auto"/>
        <w:bottom w:val="none" w:sz="0" w:space="0" w:color="auto"/>
        <w:right w:val="none" w:sz="0" w:space="0" w:color="auto"/>
      </w:divBdr>
    </w:div>
    <w:div w:id="1082335065">
      <w:bodyDiv w:val="1"/>
      <w:marLeft w:val="0"/>
      <w:marRight w:val="0"/>
      <w:marTop w:val="0"/>
      <w:marBottom w:val="0"/>
      <w:divBdr>
        <w:top w:val="none" w:sz="0" w:space="0" w:color="auto"/>
        <w:left w:val="none" w:sz="0" w:space="0" w:color="auto"/>
        <w:bottom w:val="none" w:sz="0" w:space="0" w:color="auto"/>
        <w:right w:val="none" w:sz="0" w:space="0" w:color="auto"/>
      </w:divBdr>
    </w:div>
    <w:div w:id="1094672790">
      <w:bodyDiv w:val="1"/>
      <w:marLeft w:val="0"/>
      <w:marRight w:val="0"/>
      <w:marTop w:val="0"/>
      <w:marBottom w:val="0"/>
      <w:divBdr>
        <w:top w:val="none" w:sz="0" w:space="0" w:color="auto"/>
        <w:left w:val="none" w:sz="0" w:space="0" w:color="auto"/>
        <w:bottom w:val="none" w:sz="0" w:space="0" w:color="auto"/>
        <w:right w:val="none" w:sz="0" w:space="0" w:color="auto"/>
      </w:divBdr>
      <w:divsChild>
        <w:div w:id="1495607547">
          <w:marLeft w:val="547"/>
          <w:marRight w:val="0"/>
          <w:marTop w:val="96"/>
          <w:marBottom w:val="0"/>
          <w:divBdr>
            <w:top w:val="none" w:sz="0" w:space="0" w:color="auto"/>
            <w:left w:val="none" w:sz="0" w:space="0" w:color="auto"/>
            <w:bottom w:val="none" w:sz="0" w:space="0" w:color="auto"/>
            <w:right w:val="none" w:sz="0" w:space="0" w:color="auto"/>
          </w:divBdr>
        </w:div>
      </w:divsChild>
    </w:div>
    <w:div w:id="1099986128">
      <w:bodyDiv w:val="1"/>
      <w:marLeft w:val="0"/>
      <w:marRight w:val="0"/>
      <w:marTop w:val="0"/>
      <w:marBottom w:val="0"/>
      <w:divBdr>
        <w:top w:val="none" w:sz="0" w:space="0" w:color="auto"/>
        <w:left w:val="none" w:sz="0" w:space="0" w:color="auto"/>
        <w:bottom w:val="none" w:sz="0" w:space="0" w:color="auto"/>
        <w:right w:val="none" w:sz="0" w:space="0" w:color="auto"/>
      </w:divBdr>
    </w:div>
    <w:div w:id="1102336049">
      <w:bodyDiv w:val="1"/>
      <w:marLeft w:val="0"/>
      <w:marRight w:val="0"/>
      <w:marTop w:val="0"/>
      <w:marBottom w:val="0"/>
      <w:divBdr>
        <w:top w:val="none" w:sz="0" w:space="0" w:color="auto"/>
        <w:left w:val="none" w:sz="0" w:space="0" w:color="auto"/>
        <w:bottom w:val="none" w:sz="0" w:space="0" w:color="auto"/>
        <w:right w:val="none" w:sz="0" w:space="0" w:color="auto"/>
      </w:divBdr>
    </w:div>
    <w:div w:id="1109741068">
      <w:bodyDiv w:val="1"/>
      <w:marLeft w:val="0"/>
      <w:marRight w:val="0"/>
      <w:marTop w:val="0"/>
      <w:marBottom w:val="0"/>
      <w:divBdr>
        <w:top w:val="none" w:sz="0" w:space="0" w:color="auto"/>
        <w:left w:val="none" w:sz="0" w:space="0" w:color="auto"/>
        <w:bottom w:val="none" w:sz="0" w:space="0" w:color="auto"/>
        <w:right w:val="none" w:sz="0" w:space="0" w:color="auto"/>
      </w:divBdr>
    </w:div>
    <w:div w:id="1114515858">
      <w:bodyDiv w:val="1"/>
      <w:marLeft w:val="0"/>
      <w:marRight w:val="0"/>
      <w:marTop w:val="0"/>
      <w:marBottom w:val="0"/>
      <w:divBdr>
        <w:top w:val="none" w:sz="0" w:space="0" w:color="auto"/>
        <w:left w:val="none" w:sz="0" w:space="0" w:color="auto"/>
        <w:bottom w:val="none" w:sz="0" w:space="0" w:color="auto"/>
        <w:right w:val="none" w:sz="0" w:space="0" w:color="auto"/>
      </w:divBdr>
    </w:div>
    <w:div w:id="1142381066">
      <w:bodyDiv w:val="1"/>
      <w:marLeft w:val="0"/>
      <w:marRight w:val="0"/>
      <w:marTop w:val="0"/>
      <w:marBottom w:val="0"/>
      <w:divBdr>
        <w:top w:val="none" w:sz="0" w:space="0" w:color="auto"/>
        <w:left w:val="none" w:sz="0" w:space="0" w:color="auto"/>
        <w:bottom w:val="none" w:sz="0" w:space="0" w:color="auto"/>
        <w:right w:val="none" w:sz="0" w:space="0" w:color="auto"/>
      </w:divBdr>
    </w:div>
    <w:div w:id="1191838845">
      <w:bodyDiv w:val="1"/>
      <w:marLeft w:val="0"/>
      <w:marRight w:val="0"/>
      <w:marTop w:val="0"/>
      <w:marBottom w:val="0"/>
      <w:divBdr>
        <w:top w:val="none" w:sz="0" w:space="0" w:color="auto"/>
        <w:left w:val="none" w:sz="0" w:space="0" w:color="auto"/>
        <w:bottom w:val="none" w:sz="0" w:space="0" w:color="auto"/>
        <w:right w:val="none" w:sz="0" w:space="0" w:color="auto"/>
      </w:divBdr>
    </w:div>
    <w:div w:id="1236814712">
      <w:bodyDiv w:val="1"/>
      <w:marLeft w:val="0"/>
      <w:marRight w:val="0"/>
      <w:marTop w:val="0"/>
      <w:marBottom w:val="0"/>
      <w:divBdr>
        <w:top w:val="none" w:sz="0" w:space="0" w:color="auto"/>
        <w:left w:val="none" w:sz="0" w:space="0" w:color="auto"/>
        <w:bottom w:val="none" w:sz="0" w:space="0" w:color="auto"/>
        <w:right w:val="none" w:sz="0" w:space="0" w:color="auto"/>
      </w:divBdr>
    </w:div>
    <w:div w:id="1247153449">
      <w:bodyDiv w:val="1"/>
      <w:marLeft w:val="0"/>
      <w:marRight w:val="0"/>
      <w:marTop w:val="0"/>
      <w:marBottom w:val="0"/>
      <w:divBdr>
        <w:top w:val="none" w:sz="0" w:space="0" w:color="auto"/>
        <w:left w:val="none" w:sz="0" w:space="0" w:color="auto"/>
        <w:bottom w:val="none" w:sz="0" w:space="0" w:color="auto"/>
        <w:right w:val="none" w:sz="0" w:space="0" w:color="auto"/>
      </w:divBdr>
    </w:div>
    <w:div w:id="1253588184">
      <w:bodyDiv w:val="1"/>
      <w:marLeft w:val="0"/>
      <w:marRight w:val="0"/>
      <w:marTop w:val="0"/>
      <w:marBottom w:val="0"/>
      <w:divBdr>
        <w:top w:val="none" w:sz="0" w:space="0" w:color="auto"/>
        <w:left w:val="none" w:sz="0" w:space="0" w:color="auto"/>
        <w:bottom w:val="none" w:sz="0" w:space="0" w:color="auto"/>
        <w:right w:val="none" w:sz="0" w:space="0" w:color="auto"/>
      </w:divBdr>
    </w:div>
    <w:div w:id="1255818990">
      <w:bodyDiv w:val="1"/>
      <w:marLeft w:val="0"/>
      <w:marRight w:val="0"/>
      <w:marTop w:val="0"/>
      <w:marBottom w:val="0"/>
      <w:divBdr>
        <w:top w:val="none" w:sz="0" w:space="0" w:color="auto"/>
        <w:left w:val="none" w:sz="0" w:space="0" w:color="auto"/>
        <w:bottom w:val="none" w:sz="0" w:space="0" w:color="auto"/>
        <w:right w:val="none" w:sz="0" w:space="0" w:color="auto"/>
      </w:divBdr>
      <w:divsChild>
        <w:div w:id="280957568">
          <w:marLeft w:val="547"/>
          <w:marRight w:val="0"/>
          <w:marTop w:val="0"/>
          <w:marBottom w:val="0"/>
          <w:divBdr>
            <w:top w:val="none" w:sz="0" w:space="0" w:color="auto"/>
            <w:left w:val="none" w:sz="0" w:space="0" w:color="auto"/>
            <w:bottom w:val="none" w:sz="0" w:space="0" w:color="auto"/>
            <w:right w:val="none" w:sz="0" w:space="0" w:color="auto"/>
          </w:divBdr>
        </w:div>
      </w:divsChild>
    </w:div>
    <w:div w:id="1268855850">
      <w:bodyDiv w:val="1"/>
      <w:marLeft w:val="0"/>
      <w:marRight w:val="0"/>
      <w:marTop w:val="0"/>
      <w:marBottom w:val="0"/>
      <w:divBdr>
        <w:top w:val="none" w:sz="0" w:space="0" w:color="auto"/>
        <w:left w:val="none" w:sz="0" w:space="0" w:color="auto"/>
        <w:bottom w:val="none" w:sz="0" w:space="0" w:color="auto"/>
        <w:right w:val="none" w:sz="0" w:space="0" w:color="auto"/>
      </w:divBdr>
    </w:div>
    <w:div w:id="1274483592">
      <w:bodyDiv w:val="1"/>
      <w:marLeft w:val="0"/>
      <w:marRight w:val="0"/>
      <w:marTop w:val="0"/>
      <w:marBottom w:val="0"/>
      <w:divBdr>
        <w:top w:val="none" w:sz="0" w:space="0" w:color="auto"/>
        <w:left w:val="none" w:sz="0" w:space="0" w:color="auto"/>
        <w:bottom w:val="none" w:sz="0" w:space="0" w:color="auto"/>
        <w:right w:val="none" w:sz="0" w:space="0" w:color="auto"/>
      </w:divBdr>
    </w:div>
    <w:div w:id="1295286158">
      <w:bodyDiv w:val="1"/>
      <w:marLeft w:val="0"/>
      <w:marRight w:val="0"/>
      <w:marTop w:val="0"/>
      <w:marBottom w:val="0"/>
      <w:divBdr>
        <w:top w:val="none" w:sz="0" w:space="0" w:color="auto"/>
        <w:left w:val="none" w:sz="0" w:space="0" w:color="auto"/>
        <w:bottom w:val="none" w:sz="0" w:space="0" w:color="auto"/>
        <w:right w:val="none" w:sz="0" w:space="0" w:color="auto"/>
      </w:divBdr>
      <w:divsChild>
        <w:div w:id="448202741">
          <w:marLeft w:val="547"/>
          <w:marRight w:val="0"/>
          <w:marTop w:val="0"/>
          <w:marBottom w:val="0"/>
          <w:divBdr>
            <w:top w:val="none" w:sz="0" w:space="0" w:color="auto"/>
            <w:left w:val="none" w:sz="0" w:space="0" w:color="auto"/>
            <w:bottom w:val="none" w:sz="0" w:space="0" w:color="auto"/>
            <w:right w:val="none" w:sz="0" w:space="0" w:color="auto"/>
          </w:divBdr>
        </w:div>
      </w:divsChild>
    </w:div>
    <w:div w:id="1295984891">
      <w:bodyDiv w:val="1"/>
      <w:marLeft w:val="0"/>
      <w:marRight w:val="0"/>
      <w:marTop w:val="0"/>
      <w:marBottom w:val="0"/>
      <w:divBdr>
        <w:top w:val="none" w:sz="0" w:space="0" w:color="auto"/>
        <w:left w:val="none" w:sz="0" w:space="0" w:color="auto"/>
        <w:bottom w:val="none" w:sz="0" w:space="0" w:color="auto"/>
        <w:right w:val="none" w:sz="0" w:space="0" w:color="auto"/>
      </w:divBdr>
    </w:div>
    <w:div w:id="1298490332">
      <w:bodyDiv w:val="1"/>
      <w:marLeft w:val="0"/>
      <w:marRight w:val="0"/>
      <w:marTop w:val="0"/>
      <w:marBottom w:val="0"/>
      <w:divBdr>
        <w:top w:val="none" w:sz="0" w:space="0" w:color="auto"/>
        <w:left w:val="none" w:sz="0" w:space="0" w:color="auto"/>
        <w:bottom w:val="none" w:sz="0" w:space="0" w:color="auto"/>
        <w:right w:val="none" w:sz="0" w:space="0" w:color="auto"/>
      </w:divBdr>
    </w:div>
    <w:div w:id="1308127853">
      <w:bodyDiv w:val="1"/>
      <w:marLeft w:val="0"/>
      <w:marRight w:val="0"/>
      <w:marTop w:val="0"/>
      <w:marBottom w:val="0"/>
      <w:divBdr>
        <w:top w:val="none" w:sz="0" w:space="0" w:color="auto"/>
        <w:left w:val="none" w:sz="0" w:space="0" w:color="auto"/>
        <w:bottom w:val="none" w:sz="0" w:space="0" w:color="auto"/>
        <w:right w:val="none" w:sz="0" w:space="0" w:color="auto"/>
      </w:divBdr>
    </w:div>
    <w:div w:id="1343629984">
      <w:bodyDiv w:val="1"/>
      <w:marLeft w:val="0"/>
      <w:marRight w:val="0"/>
      <w:marTop w:val="0"/>
      <w:marBottom w:val="0"/>
      <w:divBdr>
        <w:top w:val="none" w:sz="0" w:space="0" w:color="auto"/>
        <w:left w:val="none" w:sz="0" w:space="0" w:color="auto"/>
        <w:bottom w:val="none" w:sz="0" w:space="0" w:color="auto"/>
        <w:right w:val="none" w:sz="0" w:space="0" w:color="auto"/>
      </w:divBdr>
    </w:div>
    <w:div w:id="1349403394">
      <w:bodyDiv w:val="1"/>
      <w:marLeft w:val="0"/>
      <w:marRight w:val="0"/>
      <w:marTop w:val="0"/>
      <w:marBottom w:val="0"/>
      <w:divBdr>
        <w:top w:val="none" w:sz="0" w:space="0" w:color="auto"/>
        <w:left w:val="none" w:sz="0" w:space="0" w:color="auto"/>
        <w:bottom w:val="none" w:sz="0" w:space="0" w:color="auto"/>
        <w:right w:val="none" w:sz="0" w:space="0" w:color="auto"/>
      </w:divBdr>
    </w:div>
    <w:div w:id="1382513705">
      <w:bodyDiv w:val="1"/>
      <w:marLeft w:val="0"/>
      <w:marRight w:val="0"/>
      <w:marTop w:val="0"/>
      <w:marBottom w:val="0"/>
      <w:divBdr>
        <w:top w:val="none" w:sz="0" w:space="0" w:color="auto"/>
        <w:left w:val="none" w:sz="0" w:space="0" w:color="auto"/>
        <w:bottom w:val="none" w:sz="0" w:space="0" w:color="auto"/>
        <w:right w:val="none" w:sz="0" w:space="0" w:color="auto"/>
      </w:divBdr>
    </w:div>
    <w:div w:id="1406298330">
      <w:bodyDiv w:val="1"/>
      <w:marLeft w:val="0"/>
      <w:marRight w:val="0"/>
      <w:marTop w:val="0"/>
      <w:marBottom w:val="0"/>
      <w:divBdr>
        <w:top w:val="none" w:sz="0" w:space="0" w:color="auto"/>
        <w:left w:val="none" w:sz="0" w:space="0" w:color="auto"/>
        <w:bottom w:val="none" w:sz="0" w:space="0" w:color="auto"/>
        <w:right w:val="none" w:sz="0" w:space="0" w:color="auto"/>
      </w:divBdr>
    </w:div>
    <w:div w:id="1409230439">
      <w:bodyDiv w:val="1"/>
      <w:marLeft w:val="0"/>
      <w:marRight w:val="0"/>
      <w:marTop w:val="0"/>
      <w:marBottom w:val="0"/>
      <w:divBdr>
        <w:top w:val="none" w:sz="0" w:space="0" w:color="auto"/>
        <w:left w:val="none" w:sz="0" w:space="0" w:color="auto"/>
        <w:bottom w:val="none" w:sz="0" w:space="0" w:color="auto"/>
        <w:right w:val="none" w:sz="0" w:space="0" w:color="auto"/>
      </w:divBdr>
    </w:div>
    <w:div w:id="1425960486">
      <w:bodyDiv w:val="1"/>
      <w:marLeft w:val="0"/>
      <w:marRight w:val="0"/>
      <w:marTop w:val="0"/>
      <w:marBottom w:val="0"/>
      <w:divBdr>
        <w:top w:val="none" w:sz="0" w:space="0" w:color="auto"/>
        <w:left w:val="none" w:sz="0" w:space="0" w:color="auto"/>
        <w:bottom w:val="none" w:sz="0" w:space="0" w:color="auto"/>
        <w:right w:val="none" w:sz="0" w:space="0" w:color="auto"/>
      </w:divBdr>
    </w:div>
    <w:div w:id="1448238459">
      <w:bodyDiv w:val="1"/>
      <w:marLeft w:val="0"/>
      <w:marRight w:val="0"/>
      <w:marTop w:val="0"/>
      <w:marBottom w:val="0"/>
      <w:divBdr>
        <w:top w:val="none" w:sz="0" w:space="0" w:color="auto"/>
        <w:left w:val="none" w:sz="0" w:space="0" w:color="auto"/>
        <w:bottom w:val="none" w:sz="0" w:space="0" w:color="auto"/>
        <w:right w:val="none" w:sz="0" w:space="0" w:color="auto"/>
      </w:divBdr>
    </w:div>
    <w:div w:id="1458599133">
      <w:bodyDiv w:val="1"/>
      <w:marLeft w:val="0"/>
      <w:marRight w:val="0"/>
      <w:marTop w:val="0"/>
      <w:marBottom w:val="0"/>
      <w:divBdr>
        <w:top w:val="none" w:sz="0" w:space="0" w:color="auto"/>
        <w:left w:val="none" w:sz="0" w:space="0" w:color="auto"/>
        <w:bottom w:val="none" w:sz="0" w:space="0" w:color="auto"/>
        <w:right w:val="none" w:sz="0" w:space="0" w:color="auto"/>
      </w:divBdr>
      <w:divsChild>
        <w:div w:id="1504205479">
          <w:marLeft w:val="547"/>
          <w:marRight w:val="0"/>
          <w:marTop w:val="0"/>
          <w:marBottom w:val="0"/>
          <w:divBdr>
            <w:top w:val="none" w:sz="0" w:space="0" w:color="auto"/>
            <w:left w:val="none" w:sz="0" w:space="0" w:color="auto"/>
            <w:bottom w:val="none" w:sz="0" w:space="0" w:color="auto"/>
            <w:right w:val="none" w:sz="0" w:space="0" w:color="auto"/>
          </w:divBdr>
        </w:div>
      </w:divsChild>
    </w:div>
    <w:div w:id="1462771238">
      <w:bodyDiv w:val="1"/>
      <w:marLeft w:val="0"/>
      <w:marRight w:val="0"/>
      <w:marTop w:val="0"/>
      <w:marBottom w:val="0"/>
      <w:divBdr>
        <w:top w:val="none" w:sz="0" w:space="0" w:color="auto"/>
        <w:left w:val="none" w:sz="0" w:space="0" w:color="auto"/>
        <w:bottom w:val="none" w:sz="0" w:space="0" w:color="auto"/>
        <w:right w:val="none" w:sz="0" w:space="0" w:color="auto"/>
      </w:divBdr>
    </w:div>
    <w:div w:id="1474178836">
      <w:bodyDiv w:val="1"/>
      <w:marLeft w:val="0"/>
      <w:marRight w:val="0"/>
      <w:marTop w:val="0"/>
      <w:marBottom w:val="0"/>
      <w:divBdr>
        <w:top w:val="none" w:sz="0" w:space="0" w:color="auto"/>
        <w:left w:val="none" w:sz="0" w:space="0" w:color="auto"/>
        <w:bottom w:val="none" w:sz="0" w:space="0" w:color="auto"/>
        <w:right w:val="none" w:sz="0" w:space="0" w:color="auto"/>
      </w:divBdr>
    </w:div>
    <w:div w:id="1485125454">
      <w:bodyDiv w:val="1"/>
      <w:marLeft w:val="0"/>
      <w:marRight w:val="0"/>
      <w:marTop w:val="0"/>
      <w:marBottom w:val="0"/>
      <w:divBdr>
        <w:top w:val="none" w:sz="0" w:space="0" w:color="auto"/>
        <w:left w:val="none" w:sz="0" w:space="0" w:color="auto"/>
        <w:bottom w:val="none" w:sz="0" w:space="0" w:color="auto"/>
        <w:right w:val="none" w:sz="0" w:space="0" w:color="auto"/>
      </w:divBdr>
    </w:div>
    <w:div w:id="1493369204">
      <w:bodyDiv w:val="1"/>
      <w:marLeft w:val="0"/>
      <w:marRight w:val="0"/>
      <w:marTop w:val="0"/>
      <w:marBottom w:val="0"/>
      <w:divBdr>
        <w:top w:val="none" w:sz="0" w:space="0" w:color="auto"/>
        <w:left w:val="none" w:sz="0" w:space="0" w:color="auto"/>
        <w:bottom w:val="none" w:sz="0" w:space="0" w:color="auto"/>
        <w:right w:val="none" w:sz="0" w:space="0" w:color="auto"/>
      </w:divBdr>
    </w:div>
    <w:div w:id="1497725895">
      <w:bodyDiv w:val="1"/>
      <w:marLeft w:val="0"/>
      <w:marRight w:val="0"/>
      <w:marTop w:val="0"/>
      <w:marBottom w:val="0"/>
      <w:divBdr>
        <w:top w:val="none" w:sz="0" w:space="0" w:color="auto"/>
        <w:left w:val="none" w:sz="0" w:space="0" w:color="auto"/>
        <w:bottom w:val="none" w:sz="0" w:space="0" w:color="auto"/>
        <w:right w:val="none" w:sz="0" w:space="0" w:color="auto"/>
      </w:divBdr>
    </w:div>
    <w:div w:id="1513642583">
      <w:bodyDiv w:val="1"/>
      <w:marLeft w:val="0"/>
      <w:marRight w:val="0"/>
      <w:marTop w:val="0"/>
      <w:marBottom w:val="0"/>
      <w:divBdr>
        <w:top w:val="none" w:sz="0" w:space="0" w:color="auto"/>
        <w:left w:val="none" w:sz="0" w:space="0" w:color="auto"/>
        <w:bottom w:val="none" w:sz="0" w:space="0" w:color="auto"/>
        <w:right w:val="none" w:sz="0" w:space="0" w:color="auto"/>
      </w:divBdr>
    </w:div>
    <w:div w:id="1522818671">
      <w:bodyDiv w:val="1"/>
      <w:marLeft w:val="0"/>
      <w:marRight w:val="0"/>
      <w:marTop w:val="0"/>
      <w:marBottom w:val="0"/>
      <w:divBdr>
        <w:top w:val="none" w:sz="0" w:space="0" w:color="auto"/>
        <w:left w:val="none" w:sz="0" w:space="0" w:color="auto"/>
        <w:bottom w:val="none" w:sz="0" w:space="0" w:color="auto"/>
        <w:right w:val="none" w:sz="0" w:space="0" w:color="auto"/>
      </w:divBdr>
    </w:div>
    <w:div w:id="1530609692">
      <w:bodyDiv w:val="1"/>
      <w:marLeft w:val="0"/>
      <w:marRight w:val="0"/>
      <w:marTop w:val="0"/>
      <w:marBottom w:val="0"/>
      <w:divBdr>
        <w:top w:val="none" w:sz="0" w:space="0" w:color="auto"/>
        <w:left w:val="none" w:sz="0" w:space="0" w:color="auto"/>
        <w:bottom w:val="none" w:sz="0" w:space="0" w:color="auto"/>
        <w:right w:val="none" w:sz="0" w:space="0" w:color="auto"/>
      </w:divBdr>
    </w:div>
    <w:div w:id="1540582730">
      <w:bodyDiv w:val="1"/>
      <w:marLeft w:val="0"/>
      <w:marRight w:val="0"/>
      <w:marTop w:val="0"/>
      <w:marBottom w:val="0"/>
      <w:divBdr>
        <w:top w:val="none" w:sz="0" w:space="0" w:color="auto"/>
        <w:left w:val="none" w:sz="0" w:space="0" w:color="auto"/>
        <w:bottom w:val="none" w:sz="0" w:space="0" w:color="auto"/>
        <w:right w:val="none" w:sz="0" w:space="0" w:color="auto"/>
      </w:divBdr>
    </w:div>
    <w:div w:id="1549493186">
      <w:bodyDiv w:val="1"/>
      <w:marLeft w:val="0"/>
      <w:marRight w:val="0"/>
      <w:marTop w:val="0"/>
      <w:marBottom w:val="0"/>
      <w:divBdr>
        <w:top w:val="none" w:sz="0" w:space="0" w:color="auto"/>
        <w:left w:val="none" w:sz="0" w:space="0" w:color="auto"/>
        <w:bottom w:val="none" w:sz="0" w:space="0" w:color="auto"/>
        <w:right w:val="none" w:sz="0" w:space="0" w:color="auto"/>
      </w:divBdr>
    </w:div>
    <w:div w:id="1562981556">
      <w:bodyDiv w:val="1"/>
      <w:marLeft w:val="0"/>
      <w:marRight w:val="0"/>
      <w:marTop w:val="0"/>
      <w:marBottom w:val="0"/>
      <w:divBdr>
        <w:top w:val="none" w:sz="0" w:space="0" w:color="auto"/>
        <w:left w:val="none" w:sz="0" w:space="0" w:color="auto"/>
        <w:bottom w:val="none" w:sz="0" w:space="0" w:color="auto"/>
        <w:right w:val="none" w:sz="0" w:space="0" w:color="auto"/>
      </w:divBdr>
    </w:div>
    <w:div w:id="1572934182">
      <w:bodyDiv w:val="1"/>
      <w:marLeft w:val="0"/>
      <w:marRight w:val="0"/>
      <w:marTop w:val="0"/>
      <w:marBottom w:val="0"/>
      <w:divBdr>
        <w:top w:val="none" w:sz="0" w:space="0" w:color="auto"/>
        <w:left w:val="none" w:sz="0" w:space="0" w:color="auto"/>
        <w:bottom w:val="none" w:sz="0" w:space="0" w:color="auto"/>
        <w:right w:val="none" w:sz="0" w:space="0" w:color="auto"/>
      </w:divBdr>
    </w:div>
    <w:div w:id="1577740917">
      <w:bodyDiv w:val="1"/>
      <w:marLeft w:val="0"/>
      <w:marRight w:val="0"/>
      <w:marTop w:val="0"/>
      <w:marBottom w:val="0"/>
      <w:divBdr>
        <w:top w:val="none" w:sz="0" w:space="0" w:color="auto"/>
        <w:left w:val="none" w:sz="0" w:space="0" w:color="auto"/>
        <w:bottom w:val="none" w:sz="0" w:space="0" w:color="auto"/>
        <w:right w:val="none" w:sz="0" w:space="0" w:color="auto"/>
      </w:divBdr>
    </w:div>
    <w:div w:id="1606883225">
      <w:bodyDiv w:val="1"/>
      <w:marLeft w:val="0"/>
      <w:marRight w:val="0"/>
      <w:marTop w:val="0"/>
      <w:marBottom w:val="0"/>
      <w:divBdr>
        <w:top w:val="none" w:sz="0" w:space="0" w:color="auto"/>
        <w:left w:val="none" w:sz="0" w:space="0" w:color="auto"/>
        <w:bottom w:val="none" w:sz="0" w:space="0" w:color="auto"/>
        <w:right w:val="none" w:sz="0" w:space="0" w:color="auto"/>
      </w:divBdr>
    </w:div>
    <w:div w:id="1611817266">
      <w:bodyDiv w:val="1"/>
      <w:marLeft w:val="0"/>
      <w:marRight w:val="0"/>
      <w:marTop w:val="0"/>
      <w:marBottom w:val="0"/>
      <w:divBdr>
        <w:top w:val="none" w:sz="0" w:space="0" w:color="auto"/>
        <w:left w:val="none" w:sz="0" w:space="0" w:color="auto"/>
        <w:bottom w:val="none" w:sz="0" w:space="0" w:color="auto"/>
        <w:right w:val="none" w:sz="0" w:space="0" w:color="auto"/>
      </w:divBdr>
    </w:div>
    <w:div w:id="1612585332">
      <w:bodyDiv w:val="1"/>
      <w:marLeft w:val="0"/>
      <w:marRight w:val="0"/>
      <w:marTop w:val="0"/>
      <w:marBottom w:val="0"/>
      <w:divBdr>
        <w:top w:val="none" w:sz="0" w:space="0" w:color="auto"/>
        <w:left w:val="none" w:sz="0" w:space="0" w:color="auto"/>
        <w:bottom w:val="none" w:sz="0" w:space="0" w:color="auto"/>
        <w:right w:val="none" w:sz="0" w:space="0" w:color="auto"/>
      </w:divBdr>
    </w:div>
    <w:div w:id="1619532996">
      <w:bodyDiv w:val="1"/>
      <w:marLeft w:val="0"/>
      <w:marRight w:val="0"/>
      <w:marTop w:val="0"/>
      <w:marBottom w:val="0"/>
      <w:divBdr>
        <w:top w:val="none" w:sz="0" w:space="0" w:color="auto"/>
        <w:left w:val="none" w:sz="0" w:space="0" w:color="auto"/>
        <w:bottom w:val="none" w:sz="0" w:space="0" w:color="auto"/>
        <w:right w:val="none" w:sz="0" w:space="0" w:color="auto"/>
      </w:divBdr>
    </w:div>
    <w:div w:id="1623681948">
      <w:bodyDiv w:val="1"/>
      <w:marLeft w:val="0"/>
      <w:marRight w:val="0"/>
      <w:marTop w:val="0"/>
      <w:marBottom w:val="0"/>
      <w:divBdr>
        <w:top w:val="none" w:sz="0" w:space="0" w:color="auto"/>
        <w:left w:val="none" w:sz="0" w:space="0" w:color="auto"/>
        <w:bottom w:val="none" w:sz="0" w:space="0" w:color="auto"/>
        <w:right w:val="none" w:sz="0" w:space="0" w:color="auto"/>
      </w:divBdr>
      <w:divsChild>
        <w:div w:id="1804538553">
          <w:marLeft w:val="547"/>
          <w:marRight w:val="0"/>
          <w:marTop w:val="0"/>
          <w:marBottom w:val="0"/>
          <w:divBdr>
            <w:top w:val="none" w:sz="0" w:space="0" w:color="auto"/>
            <w:left w:val="none" w:sz="0" w:space="0" w:color="auto"/>
            <w:bottom w:val="none" w:sz="0" w:space="0" w:color="auto"/>
            <w:right w:val="none" w:sz="0" w:space="0" w:color="auto"/>
          </w:divBdr>
        </w:div>
      </w:divsChild>
    </w:div>
    <w:div w:id="1629700873">
      <w:bodyDiv w:val="1"/>
      <w:marLeft w:val="0"/>
      <w:marRight w:val="0"/>
      <w:marTop w:val="0"/>
      <w:marBottom w:val="0"/>
      <w:divBdr>
        <w:top w:val="none" w:sz="0" w:space="0" w:color="auto"/>
        <w:left w:val="none" w:sz="0" w:space="0" w:color="auto"/>
        <w:bottom w:val="none" w:sz="0" w:space="0" w:color="auto"/>
        <w:right w:val="none" w:sz="0" w:space="0" w:color="auto"/>
      </w:divBdr>
      <w:divsChild>
        <w:div w:id="993072946">
          <w:marLeft w:val="547"/>
          <w:marRight w:val="0"/>
          <w:marTop w:val="0"/>
          <w:marBottom w:val="0"/>
          <w:divBdr>
            <w:top w:val="none" w:sz="0" w:space="0" w:color="auto"/>
            <w:left w:val="none" w:sz="0" w:space="0" w:color="auto"/>
            <w:bottom w:val="none" w:sz="0" w:space="0" w:color="auto"/>
            <w:right w:val="none" w:sz="0" w:space="0" w:color="auto"/>
          </w:divBdr>
        </w:div>
      </w:divsChild>
    </w:div>
    <w:div w:id="1631596539">
      <w:bodyDiv w:val="1"/>
      <w:marLeft w:val="0"/>
      <w:marRight w:val="0"/>
      <w:marTop w:val="0"/>
      <w:marBottom w:val="0"/>
      <w:divBdr>
        <w:top w:val="none" w:sz="0" w:space="0" w:color="auto"/>
        <w:left w:val="none" w:sz="0" w:space="0" w:color="auto"/>
        <w:bottom w:val="none" w:sz="0" w:space="0" w:color="auto"/>
        <w:right w:val="none" w:sz="0" w:space="0" w:color="auto"/>
      </w:divBdr>
    </w:div>
    <w:div w:id="1656253507">
      <w:bodyDiv w:val="1"/>
      <w:marLeft w:val="0"/>
      <w:marRight w:val="0"/>
      <w:marTop w:val="0"/>
      <w:marBottom w:val="0"/>
      <w:divBdr>
        <w:top w:val="none" w:sz="0" w:space="0" w:color="auto"/>
        <w:left w:val="none" w:sz="0" w:space="0" w:color="auto"/>
        <w:bottom w:val="none" w:sz="0" w:space="0" w:color="auto"/>
        <w:right w:val="none" w:sz="0" w:space="0" w:color="auto"/>
      </w:divBdr>
    </w:div>
    <w:div w:id="1656761954">
      <w:bodyDiv w:val="1"/>
      <w:marLeft w:val="0"/>
      <w:marRight w:val="0"/>
      <w:marTop w:val="0"/>
      <w:marBottom w:val="0"/>
      <w:divBdr>
        <w:top w:val="none" w:sz="0" w:space="0" w:color="auto"/>
        <w:left w:val="none" w:sz="0" w:space="0" w:color="auto"/>
        <w:bottom w:val="none" w:sz="0" w:space="0" w:color="auto"/>
        <w:right w:val="none" w:sz="0" w:space="0" w:color="auto"/>
      </w:divBdr>
    </w:div>
    <w:div w:id="1657681206">
      <w:bodyDiv w:val="1"/>
      <w:marLeft w:val="0"/>
      <w:marRight w:val="0"/>
      <w:marTop w:val="0"/>
      <w:marBottom w:val="0"/>
      <w:divBdr>
        <w:top w:val="none" w:sz="0" w:space="0" w:color="auto"/>
        <w:left w:val="none" w:sz="0" w:space="0" w:color="auto"/>
        <w:bottom w:val="none" w:sz="0" w:space="0" w:color="auto"/>
        <w:right w:val="none" w:sz="0" w:space="0" w:color="auto"/>
      </w:divBdr>
    </w:div>
    <w:div w:id="1667830131">
      <w:bodyDiv w:val="1"/>
      <w:marLeft w:val="0"/>
      <w:marRight w:val="0"/>
      <w:marTop w:val="0"/>
      <w:marBottom w:val="0"/>
      <w:divBdr>
        <w:top w:val="none" w:sz="0" w:space="0" w:color="auto"/>
        <w:left w:val="none" w:sz="0" w:space="0" w:color="auto"/>
        <w:bottom w:val="none" w:sz="0" w:space="0" w:color="auto"/>
        <w:right w:val="none" w:sz="0" w:space="0" w:color="auto"/>
      </w:divBdr>
    </w:div>
    <w:div w:id="1677532394">
      <w:bodyDiv w:val="1"/>
      <w:marLeft w:val="0"/>
      <w:marRight w:val="0"/>
      <w:marTop w:val="0"/>
      <w:marBottom w:val="0"/>
      <w:divBdr>
        <w:top w:val="none" w:sz="0" w:space="0" w:color="auto"/>
        <w:left w:val="none" w:sz="0" w:space="0" w:color="auto"/>
        <w:bottom w:val="none" w:sz="0" w:space="0" w:color="auto"/>
        <w:right w:val="none" w:sz="0" w:space="0" w:color="auto"/>
      </w:divBdr>
      <w:divsChild>
        <w:div w:id="20672714">
          <w:marLeft w:val="0"/>
          <w:marRight w:val="0"/>
          <w:marTop w:val="0"/>
          <w:marBottom w:val="0"/>
          <w:divBdr>
            <w:top w:val="none" w:sz="0" w:space="0" w:color="auto"/>
            <w:left w:val="none" w:sz="0" w:space="0" w:color="auto"/>
            <w:bottom w:val="none" w:sz="0" w:space="0" w:color="auto"/>
            <w:right w:val="none" w:sz="0" w:space="0" w:color="auto"/>
          </w:divBdr>
        </w:div>
        <w:div w:id="130173697">
          <w:marLeft w:val="0"/>
          <w:marRight w:val="0"/>
          <w:marTop w:val="0"/>
          <w:marBottom w:val="0"/>
          <w:divBdr>
            <w:top w:val="none" w:sz="0" w:space="0" w:color="auto"/>
            <w:left w:val="none" w:sz="0" w:space="0" w:color="auto"/>
            <w:bottom w:val="none" w:sz="0" w:space="0" w:color="auto"/>
            <w:right w:val="none" w:sz="0" w:space="0" w:color="auto"/>
          </w:divBdr>
        </w:div>
        <w:div w:id="384178355">
          <w:marLeft w:val="0"/>
          <w:marRight w:val="0"/>
          <w:marTop w:val="0"/>
          <w:marBottom w:val="0"/>
          <w:divBdr>
            <w:top w:val="none" w:sz="0" w:space="0" w:color="auto"/>
            <w:left w:val="none" w:sz="0" w:space="0" w:color="auto"/>
            <w:bottom w:val="none" w:sz="0" w:space="0" w:color="auto"/>
            <w:right w:val="none" w:sz="0" w:space="0" w:color="auto"/>
          </w:divBdr>
        </w:div>
        <w:div w:id="440758512">
          <w:marLeft w:val="0"/>
          <w:marRight w:val="0"/>
          <w:marTop w:val="0"/>
          <w:marBottom w:val="0"/>
          <w:divBdr>
            <w:top w:val="none" w:sz="0" w:space="0" w:color="auto"/>
            <w:left w:val="none" w:sz="0" w:space="0" w:color="auto"/>
            <w:bottom w:val="none" w:sz="0" w:space="0" w:color="auto"/>
            <w:right w:val="none" w:sz="0" w:space="0" w:color="auto"/>
          </w:divBdr>
        </w:div>
        <w:div w:id="457451554">
          <w:marLeft w:val="0"/>
          <w:marRight w:val="0"/>
          <w:marTop w:val="0"/>
          <w:marBottom w:val="0"/>
          <w:divBdr>
            <w:top w:val="none" w:sz="0" w:space="0" w:color="auto"/>
            <w:left w:val="none" w:sz="0" w:space="0" w:color="auto"/>
            <w:bottom w:val="none" w:sz="0" w:space="0" w:color="auto"/>
            <w:right w:val="none" w:sz="0" w:space="0" w:color="auto"/>
          </w:divBdr>
        </w:div>
        <w:div w:id="658508285">
          <w:marLeft w:val="0"/>
          <w:marRight w:val="0"/>
          <w:marTop w:val="0"/>
          <w:marBottom w:val="0"/>
          <w:divBdr>
            <w:top w:val="none" w:sz="0" w:space="0" w:color="auto"/>
            <w:left w:val="none" w:sz="0" w:space="0" w:color="auto"/>
            <w:bottom w:val="none" w:sz="0" w:space="0" w:color="auto"/>
            <w:right w:val="none" w:sz="0" w:space="0" w:color="auto"/>
          </w:divBdr>
        </w:div>
        <w:div w:id="663167908">
          <w:marLeft w:val="0"/>
          <w:marRight w:val="0"/>
          <w:marTop w:val="0"/>
          <w:marBottom w:val="0"/>
          <w:divBdr>
            <w:top w:val="none" w:sz="0" w:space="0" w:color="auto"/>
            <w:left w:val="none" w:sz="0" w:space="0" w:color="auto"/>
            <w:bottom w:val="none" w:sz="0" w:space="0" w:color="auto"/>
            <w:right w:val="none" w:sz="0" w:space="0" w:color="auto"/>
          </w:divBdr>
        </w:div>
        <w:div w:id="720322288">
          <w:marLeft w:val="0"/>
          <w:marRight w:val="0"/>
          <w:marTop w:val="0"/>
          <w:marBottom w:val="0"/>
          <w:divBdr>
            <w:top w:val="none" w:sz="0" w:space="0" w:color="auto"/>
            <w:left w:val="none" w:sz="0" w:space="0" w:color="auto"/>
            <w:bottom w:val="none" w:sz="0" w:space="0" w:color="auto"/>
            <w:right w:val="none" w:sz="0" w:space="0" w:color="auto"/>
          </w:divBdr>
        </w:div>
        <w:div w:id="732965924">
          <w:marLeft w:val="0"/>
          <w:marRight w:val="0"/>
          <w:marTop w:val="0"/>
          <w:marBottom w:val="0"/>
          <w:divBdr>
            <w:top w:val="none" w:sz="0" w:space="0" w:color="auto"/>
            <w:left w:val="none" w:sz="0" w:space="0" w:color="auto"/>
            <w:bottom w:val="none" w:sz="0" w:space="0" w:color="auto"/>
            <w:right w:val="none" w:sz="0" w:space="0" w:color="auto"/>
          </w:divBdr>
        </w:div>
        <w:div w:id="845285023">
          <w:marLeft w:val="0"/>
          <w:marRight w:val="0"/>
          <w:marTop w:val="0"/>
          <w:marBottom w:val="0"/>
          <w:divBdr>
            <w:top w:val="none" w:sz="0" w:space="0" w:color="auto"/>
            <w:left w:val="none" w:sz="0" w:space="0" w:color="auto"/>
            <w:bottom w:val="none" w:sz="0" w:space="0" w:color="auto"/>
            <w:right w:val="none" w:sz="0" w:space="0" w:color="auto"/>
          </w:divBdr>
        </w:div>
        <w:div w:id="1065641225">
          <w:marLeft w:val="0"/>
          <w:marRight w:val="0"/>
          <w:marTop w:val="0"/>
          <w:marBottom w:val="0"/>
          <w:divBdr>
            <w:top w:val="none" w:sz="0" w:space="0" w:color="auto"/>
            <w:left w:val="none" w:sz="0" w:space="0" w:color="auto"/>
            <w:bottom w:val="none" w:sz="0" w:space="0" w:color="auto"/>
            <w:right w:val="none" w:sz="0" w:space="0" w:color="auto"/>
          </w:divBdr>
        </w:div>
        <w:div w:id="1351377445">
          <w:marLeft w:val="0"/>
          <w:marRight w:val="0"/>
          <w:marTop w:val="0"/>
          <w:marBottom w:val="0"/>
          <w:divBdr>
            <w:top w:val="none" w:sz="0" w:space="0" w:color="auto"/>
            <w:left w:val="none" w:sz="0" w:space="0" w:color="auto"/>
            <w:bottom w:val="none" w:sz="0" w:space="0" w:color="auto"/>
            <w:right w:val="none" w:sz="0" w:space="0" w:color="auto"/>
          </w:divBdr>
        </w:div>
        <w:div w:id="1359500921">
          <w:marLeft w:val="0"/>
          <w:marRight w:val="0"/>
          <w:marTop w:val="0"/>
          <w:marBottom w:val="0"/>
          <w:divBdr>
            <w:top w:val="none" w:sz="0" w:space="0" w:color="auto"/>
            <w:left w:val="none" w:sz="0" w:space="0" w:color="auto"/>
            <w:bottom w:val="none" w:sz="0" w:space="0" w:color="auto"/>
            <w:right w:val="none" w:sz="0" w:space="0" w:color="auto"/>
          </w:divBdr>
        </w:div>
        <w:div w:id="1490756766">
          <w:marLeft w:val="0"/>
          <w:marRight w:val="0"/>
          <w:marTop w:val="0"/>
          <w:marBottom w:val="0"/>
          <w:divBdr>
            <w:top w:val="none" w:sz="0" w:space="0" w:color="auto"/>
            <w:left w:val="none" w:sz="0" w:space="0" w:color="auto"/>
            <w:bottom w:val="none" w:sz="0" w:space="0" w:color="auto"/>
            <w:right w:val="none" w:sz="0" w:space="0" w:color="auto"/>
          </w:divBdr>
        </w:div>
        <w:div w:id="1529488949">
          <w:marLeft w:val="0"/>
          <w:marRight w:val="0"/>
          <w:marTop w:val="0"/>
          <w:marBottom w:val="0"/>
          <w:divBdr>
            <w:top w:val="none" w:sz="0" w:space="0" w:color="auto"/>
            <w:left w:val="none" w:sz="0" w:space="0" w:color="auto"/>
            <w:bottom w:val="none" w:sz="0" w:space="0" w:color="auto"/>
            <w:right w:val="none" w:sz="0" w:space="0" w:color="auto"/>
          </w:divBdr>
        </w:div>
        <w:div w:id="1538657844">
          <w:marLeft w:val="0"/>
          <w:marRight w:val="0"/>
          <w:marTop w:val="0"/>
          <w:marBottom w:val="0"/>
          <w:divBdr>
            <w:top w:val="none" w:sz="0" w:space="0" w:color="auto"/>
            <w:left w:val="none" w:sz="0" w:space="0" w:color="auto"/>
            <w:bottom w:val="none" w:sz="0" w:space="0" w:color="auto"/>
            <w:right w:val="none" w:sz="0" w:space="0" w:color="auto"/>
          </w:divBdr>
        </w:div>
        <w:div w:id="1814785991">
          <w:marLeft w:val="0"/>
          <w:marRight w:val="0"/>
          <w:marTop w:val="0"/>
          <w:marBottom w:val="0"/>
          <w:divBdr>
            <w:top w:val="none" w:sz="0" w:space="0" w:color="auto"/>
            <w:left w:val="none" w:sz="0" w:space="0" w:color="auto"/>
            <w:bottom w:val="none" w:sz="0" w:space="0" w:color="auto"/>
            <w:right w:val="none" w:sz="0" w:space="0" w:color="auto"/>
          </w:divBdr>
        </w:div>
        <w:div w:id="1932469341">
          <w:marLeft w:val="0"/>
          <w:marRight w:val="0"/>
          <w:marTop w:val="0"/>
          <w:marBottom w:val="0"/>
          <w:divBdr>
            <w:top w:val="none" w:sz="0" w:space="0" w:color="auto"/>
            <w:left w:val="none" w:sz="0" w:space="0" w:color="auto"/>
            <w:bottom w:val="none" w:sz="0" w:space="0" w:color="auto"/>
            <w:right w:val="none" w:sz="0" w:space="0" w:color="auto"/>
          </w:divBdr>
        </w:div>
        <w:div w:id="1956983315">
          <w:marLeft w:val="0"/>
          <w:marRight w:val="0"/>
          <w:marTop w:val="0"/>
          <w:marBottom w:val="0"/>
          <w:divBdr>
            <w:top w:val="none" w:sz="0" w:space="0" w:color="auto"/>
            <w:left w:val="none" w:sz="0" w:space="0" w:color="auto"/>
            <w:bottom w:val="none" w:sz="0" w:space="0" w:color="auto"/>
            <w:right w:val="none" w:sz="0" w:space="0" w:color="auto"/>
          </w:divBdr>
        </w:div>
      </w:divsChild>
    </w:div>
    <w:div w:id="1699310766">
      <w:bodyDiv w:val="1"/>
      <w:marLeft w:val="0"/>
      <w:marRight w:val="0"/>
      <w:marTop w:val="0"/>
      <w:marBottom w:val="0"/>
      <w:divBdr>
        <w:top w:val="none" w:sz="0" w:space="0" w:color="auto"/>
        <w:left w:val="none" w:sz="0" w:space="0" w:color="auto"/>
        <w:bottom w:val="none" w:sz="0" w:space="0" w:color="auto"/>
        <w:right w:val="none" w:sz="0" w:space="0" w:color="auto"/>
      </w:divBdr>
    </w:div>
    <w:div w:id="1713115489">
      <w:bodyDiv w:val="1"/>
      <w:marLeft w:val="0"/>
      <w:marRight w:val="0"/>
      <w:marTop w:val="0"/>
      <w:marBottom w:val="0"/>
      <w:divBdr>
        <w:top w:val="none" w:sz="0" w:space="0" w:color="auto"/>
        <w:left w:val="none" w:sz="0" w:space="0" w:color="auto"/>
        <w:bottom w:val="none" w:sz="0" w:space="0" w:color="auto"/>
        <w:right w:val="none" w:sz="0" w:space="0" w:color="auto"/>
      </w:divBdr>
    </w:div>
    <w:div w:id="1738282399">
      <w:bodyDiv w:val="1"/>
      <w:marLeft w:val="0"/>
      <w:marRight w:val="0"/>
      <w:marTop w:val="0"/>
      <w:marBottom w:val="0"/>
      <w:divBdr>
        <w:top w:val="none" w:sz="0" w:space="0" w:color="auto"/>
        <w:left w:val="none" w:sz="0" w:space="0" w:color="auto"/>
        <w:bottom w:val="none" w:sz="0" w:space="0" w:color="auto"/>
        <w:right w:val="none" w:sz="0" w:space="0" w:color="auto"/>
      </w:divBdr>
    </w:div>
    <w:div w:id="1800344579">
      <w:bodyDiv w:val="1"/>
      <w:marLeft w:val="0"/>
      <w:marRight w:val="0"/>
      <w:marTop w:val="0"/>
      <w:marBottom w:val="0"/>
      <w:divBdr>
        <w:top w:val="none" w:sz="0" w:space="0" w:color="auto"/>
        <w:left w:val="none" w:sz="0" w:space="0" w:color="auto"/>
        <w:bottom w:val="none" w:sz="0" w:space="0" w:color="auto"/>
        <w:right w:val="none" w:sz="0" w:space="0" w:color="auto"/>
      </w:divBdr>
    </w:div>
    <w:div w:id="1825658029">
      <w:bodyDiv w:val="1"/>
      <w:marLeft w:val="0"/>
      <w:marRight w:val="0"/>
      <w:marTop w:val="0"/>
      <w:marBottom w:val="0"/>
      <w:divBdr>
        <w:top w:val="none" w:sz="0" w:space="0" w:color="auto"/>
        <w:left w:val="none" w:sz="0" w:space="0" w:color="auto"/>
        <w:bottom w:val="none" w:sz="0" w:space="0" w:color="auto"/>
        <w:right w:val="none" w:sz="0" w:space="0" w:color="auto"/>
      </w:divBdr>
    </w:div>
    <w:div w:id="1839227699">
      <w:bodyDiv w:val="1"/>
      <w:marLeft w:val="0"/>
      <w:marRight w:val="0"/>
      <w:marTop w:val="0"/>
      <w:marBottom w:val="0"/>
      <w:divBdr>
        <w:top w:val="none" w:sz="0" w:space="0" w:color="auto"/>
        <w:left w:val="none" w:sz="0" w:space="0" w:color="auto"/>
        <w:bottom w:val="none" w:sz="0" w:space="0" w:color="auto"/>
        <w:right w:val="none" w:sz="0" w:space="0" w:color="auto"/>
      </w:divBdr>
    </w:div>
    <w:div w:id="1854107101">
      <w:bodyDiv w:val="1"/>
      <w:marLeft w:val="0"/>
      <w:marRight w:val="0"/>
      <w:marTop w:val="0"/>
      <w:marBottom w:val="0"/>
      <w:divBdr>
        <w:top w:val="none" w:sz="0" w:space="0" w:color="auto"/>
        <w:left w:val="none" w:sz="0" w:space="0" w:color="auto"/>
        <w:bottom w:val="none" w:sz="0" w:space="0" w:color="auto"/>
        <w:right w:val="none" w:sz="0" w:space="0" w:color="auto"/>
      </w:divBdr>
    </w:div>
    <w:div w:id="1861428840">
      <w:bodyDiv w:val="1"/>
      <w:marLeft w:val="0"/>
      <w:marRight w:val="0"/>
      <w:marTop w:val="0"/>
      <w:marBottom w:val="0"/>
      <w:divBdr>
        <w:top w:val="none" w:sz="0" w:space="0" w:color="auto"/>
        <w:left w:val="none" w:sz="0" w:space="0" w:color="auto"/>
        <w:bottom w:val="none" w:sz="0" w:space="0" w:color="auto"/>
        <w:right w:val="none" w:sz="0" w:space="0" w:color="auto"/>
      </w:divBdr>
    </w:div>
    <w:div w:id="1875267638">
      <w:bodyDiv w:val="1"/>
      <w:marLeft w:val="0"/>
      <w:marRight w:val="0"/>
      <w:marTop w:val="0"/>
      <w:marBottom w:val="0"/>
      <w:divBdr>
        <w:top w:val="none" w:sz="0" w:space="0" w:color="auto"/>
        <w:left w:val="none" w:sz="0" w:space="0" w:color="auto"/>
        <w:bottom w:val="none" w:sz="0" w:space="0" w:color="auto"/>
        <w:right w:val="none" w:sz="0" w:space="0" w:color="auto"/>
      </w:divBdr>
    </w:div>
    <w:div w:id="1907563948">
      <w:bodyDiv w:val="1"/>
      <w:marLeft w:val="0"/>
      <w:marRight w:val="0"/>
      <w:marTop w:val="0"/>
      <w:marBottom w:val="0"/>
      <w:divBdr>
        <w:top w:val="none" w:sz="0" w:space="0" w:color="auto"/>
        <w:left w:val="none" w:sz="0" w:space="0" w:color="auto"/>
        <w:bottom w:val="none" w:sz="0" w:space="0" w:color="auto"/>
        <w:right w:val="none" w:sz="0" w:space="0" w:color="auto"/>
      </w:divBdr>
    </w:div>
    <w:div w:id="1907835328">
      <w:bodyDiv w:val="1"/>
      <w:marLeft w:val="0"/>
      <w:marRight w:val="0"/>
      <w:marTop w:val="0"/>
      <w:marBottom w:val="0"/>
      <w:divBdr>
        <w:top w:val="none" w:sz="0" w:space="0" w:color="auto"/>
        <w:left w:val="none" w:sz="0" w:space="0" w:color="auto"/>
        <w:bottom w:val="none" w:sz="0" w:space="0" w:color="auto"/>
        <w:right w:val="none" w:sz="0" w:space="0" w:color="auto"/>
      </w:divBdr>
    </w:div>
    <w:div w:id="1910729770">
      <w:bodyDiv w:val="1"/>
      <w:marLeft w:val="0"/>
      <w:marRight w:val="0"/>
      <w:marTop w:val="0"/>
      <w:marBottom w:val="0"/>
      <w:divBdr>
        <w:top w:val="none" w:sz="0" w:space="0" w:color="auto"/>
        <w:left w:val="none" w:sz="0" w:space="0" w:color="auto"/>
        <w:bottom w:val="none" w:sz="0" w:space="0" w:color="auto"/>
        <w:right w:val="none" w:sz="0" w:space="0" w:color="auto"/>
      </w:divBdr>
    </w:div>
    <w:div w:id="1911233077">
      <w:bodyDiv w:val="1"/>
      <w:marLeft w:val="0"/>
      <w:marRight w:val="0"/>
      <w:marTop w:val="0"/>
      <w:marBottom w:val="0"/>
      <w:divBdr>
        <w:top w:val="none" w:sz="0" w:space="0" w:color="auto"/>
        <w:left w:val="none" w:sz="0" w:space="0" w:color="auto"/>
        <w:bottom w:val="none" w:sz="0" w:space="0" w:color="auto"/>
        <w:right w:val="none" w:sz="0" w:space="0" w:color="auto"/>
      </w:divBdr>
    </w:div>
    <w:div w:id="1916939512">
      <w:bodyDiv w:val="1"/>
      <w:marLeft w:val="0"/>
      <w:marRight w:val="0"/>
      <w:marTop w:val="0"/>
      <w:marBottom w:val="0"/>
      <w:divBdr>
        <w:top w:val="none" w:sz="0" w:space="0" w:color="auto"/>
        <w:left w:val="none" w:sz="0" w:space="0" w:color="auto"/>
        <w:bottom w:val="none" w:sz="0" w:space="0" w:color="auto"/>
        <w:right w:val="none" w:sz="0" w:space="0" w:color="auto"/>
      </w:divBdr>
    </w:div>
    <w:div w:id="1930037698">
      <w:bodyDiv w:val="1"/>
      <w:marLeft w:val="0"/>
      <w:marRight w:val="0"/>
      <w:marTop w:val="0"/>
      <w:marBottom w:val="0"/>
      <w:divBdr>
        <w:top w:val="none" w:sz="0" w:space="0" w:color="auto"/>
        <w:left w:val="none" w:sz="0" w:space="0" w:color="auto"/>
        <w:bottom w:val="none" w:sz="0" w:space="0" w:color="auto"/>
        <w:right w:val="none" w:sz="0" w:space="0" w:color="auto"/>
      </w:divBdr>
    </w:div>
    <w:div w:id="1975060048">
      <w:bodyDiv w:val="1"/>
      <w:marLeft w:val="0"/>
      <w:marRight w:val="0"/>
      <w:marTop w:val="0"/>
      <w:marBottom w:val="0"/>
      <w:divBdr>
        <w:top w:val="none" w:sz="0" w:space="0" w:color="auto"/>
        <w:left w:val="none" w:sz="0" w:space="0" w:color="auto"/>
        <w:bottom w:val="none" w:sz="0" w:space="0" w:color="auto"/>
        <w:right w:val="none" w:sz="0" w:space="0" w:color="auto"/>
      </w:divBdr>
      <w:divsChild>
        <w:div w:id="10029343">
          <w:marLeft w:val="0"/>
          <w:marRight w:val="0"/>
          <w:marTop w:val="0"/>
          <w:marBottom w:val="0"/>
          <w:divBdr>
            <w:top w:val="none" w:sz="0" w:space="0" w:color="auto"/>
            <w:left w:val="none" w:sz="0" w:space="0" w:color="auto"/>
            <w:bottom w:val="none" w:sz="0" w:space="0" w:color="auto"/>
            <w:right w:val="none" w:sz="0" w:space="0" w:color="auto"/>
          </w:divBdr>
        </w:div>
        <w:div w:id="18505486">
          <w:marLeft w:val="0"/>
          <w:marRight w:val="0"/>
          <w:marTop w:val="0"/>
          <w:marBottom w:val="0"/>
          <w:divBdr>
            <w:top w:val="none" w:sz="0" w:space="0" w:color="auto"/>
            <w:left w:val="none" w:sz="0" w:space="0" w:color="auto"/>
            <w:bottom w:val="none" w:sz="0" w:space="0" w:color="auto"/>
            <w:right w:val="none" w:sz="0" w:space="0" w:color="auto"/>
          </w:divBdr>
        </w:div>
        <w:div w:id="207300450">
          <w:marLeft w:val="0"/>
          <w:marRight w:val="0"/>
          <w:marTop w:val="0"/>
          <w:marBottom w:val="0"/>
          <w:divBdr>
            <w:top w:val="none" w:sz="0" w:space="0" w:color="auto"/>
            <w:left w:val="none" w:sz="0" w:space="0" w:color="auto"/>
            <w:bottom w:val="none" w:sz="0" w:space="0" w:color="auto"/>
            <w:right w:val="none" w:sz="0" w:space="0" w:color="auto"/>
          </w:divBdr>
        </w:div>
        <w:div w:id="216671301">
          <w:marLeft w:val="0"/>
          <w:marRight w:val="0"/>
          <w:marTop w:val="0"/>
          <w:marBottom w:val="0"/>
          <w:divBdr>
            <w:top w:val="none" w:sz="0" w:space="0" w:color="auto"/>
            <w:left w:val="none" w:sz="0" w:space="0" w:color="auto"/>
            <w:bottom w:val="none" w:sz="0" w:space="0" w:color="auto"/>
            <w:right w:val="none" w:sz="0" w:space="0" w:color="auto"/>
          </w:divBdr>
        </w:div>
        <w:div w:id="252009037">
          <w:marLeft w:val="0"/>
          <w:marRight w:val="0"/>
          <w:marTop w:val="0"/>
          <w:marBottom w:val="0"/>
          <w:divBdr>
            <w:top w:val="none" w:sz="0" w:space="0" w:color="auto"/>
            <w:left w:val="none" w:sz="0" w:space="0" w:color="auto"/>
            <w:bottom w:val="none" w:sz="0" w:space="0" w:color="auto"/>
            <w:right w:val="none" w:sz="0" w:space="0" w:color="auto"/>
          </w:divBdr>
        </w:div>
        <w:div w:id="279454319">
          <w:marLeft w:val="0"/>
          <w:marRight w:val="0"/>
          <w:marTop w:val="0"/>
          <w:marBottom w:val="0"/>
          <w:divBdr>
            <w:top w:val="none" w:sz="0" w:space="0" w:color="auto"/>
            <w:left w:val="none" w:sz="0" w:space="0" w:color="auto"/>
            <w:bottom w:val="none" w:sz="0" w:space="0" w:color="auto"/>
            <w:right w:val="none" w:sz="0" w:space="0" w:color="auto"/>
          </w:divBdr>
        </w:div>
        <w:div w:id="435829705">
          <w:marLeft w:val="0"/>
          <w:marRight w:val="0"/>
          <w:marTop w:val="0"/>
          <w:marBottom w:val="0"/>
          <w:divBdr>
            <w:top w:val="none" w:sz="0" w:space="0" w:color="auto"/>
            <w:left w:val="none" w:sz="0" w:space="0" w:color="auto"/>
            <w:bottom w:val="none" w:sz="0" w:space="0" w:color="auto"/>
            <w:right w:val="none" w:sz="0" w:space="0" w:color="auto"/>
          </w:divBdr>
        </w:div>
        <w:div w:id="497694370">
          <w:marLeft w:val="0"/>
          <w:marRight w:val="0"/>
          <w:marTop w:val="0"/>
          <w:marBottom w:val="0"/>
          <w:divBdr>
            <w:top w:val="none" w:sz="0" w:space="0" w:color="auto"/>
            <w:left w:val="none" w:sz="0" w:space="0" w:color="auto"/>
            <w:bottom w:val="none" w:sz="0" w:space="0" w:color="auto"/>
            <w:right w:val="none" w:sz="0" w:space="0" w:color="auto"/>
          </w:divBdr>
        </w:div>
        <w:div w:id="942298299">
          <w:marLeft w:val="0"/>
          <w:marRight w:val="0"/>
          <w:marTop w:val="0"/>
          <w:marBottom w:val="0"/>
          <w:divBdr>
            <w:top w:val="none" w:sz="0" w:space="0" w:color="auto"/>
            <w:left w:val="none" w:sz="0" w:space="0" w:color="auto"/>
            <w:bottom w:val="none" w:sz="0" w:space="0" w:color="auto"/>
            <w:right w:val="none" w:sz="0" w:space="0" w:color="auto"/>
          </w:divBdr>
        </w:div>
        <w:div w:id="946961153">
          <w:marLeft w:val="0"/>
          <w:marRight w:val="0"/>
          <w:marTop w:val="0"/>
          <w:marBottom w:val="0"/>
          <w:divBdr>
            <w:top w:val="none" w:sz="0" w:space="0" w:color="auto"/>
            <w:left w:val="none" w:sz="0" w:space="0" w:color="auto"/>
            <w:bottom w:val="none" w:sz="0" w:space="0" w:color="auto"/>
            <w:right w:val="none" w:sz="0" w:space="0" w:color="auto"/>
          </w:divBdr>
        </w:div>
        <w:div w:id="986325330">
          <w:marLeft w:val="0"/>
          <w:marRight w:val="0"/>
          <w:marTop w:val="0"/>
          <w:marBottom w:val="0"/>
          <w:divBdr>
            <w:top w:val="none" w:sz="0" w:space="0" w:color="auto"/>
            <w:left w:val="none" w:sz="0" w:space="0" w:color="auto"/>
            <w:bottom w:val="none" w:sz="0" w:space="0" w:color="auto"/>
            <w:right w:val="none" w:sz="0" w:space="0" w:color="auto"/>
          </w:divBdr>
        </w:div>
        <w:div w:id="1031804393">
          <w:marLeft w:val="0"/>
          <w:marRight w:val="0"/>
          <w:marTop w:val="0"/>
          <w:marBottom w:val="0"/>
          <w:divBdr>
            <w:top w:val="none" w:sz="0" w:space="0" w:color="auto"/>
            <w:left w:val="none" w:sz="0" w:space="0" w:color="auto"/>
            <w:bottom w:val="none" w:sz="0" w:space="0" w:color="auto"/>
            <w:right w:val="none" w:sz="0" w:space="0" w:color="auto"/>
          </w:divBdr>
        </w:div>
        <w:div w:id="1145973189">
          <w:marLeft w:val="0"/>
          <w:marRight w:val="0"/>
          <w:marTop w:val="0"/>
          <w:marBottom w:val="0"/>
          <w:divBdr>
            <w:top w:val="none" w:sz="0" w:space="0" w:color="auto"/>
            <w:left w:val="none" w:sz="0" w:space="0" w:color="auto"/>
            <w:bottom w:val="none" w:sz="0" w:space="0" w:color="auto"/>
            <w:right w:val="none" w:sz="0" w:space="0" w:color="auto"/>
          </w:divBdr>
        </w:div>
        <w:div w:id="1157261050">
          <w:marLeft w:val="0"/>
          <w:marRight w:val="0"/>
          <w:marTop w:val="0"/>
          <w:marBottom w:val="0"/>
          <w:divBdr>
            <w:top w:val="none" w:sz="0" w:space="0" w:color="auto"/>
            <w:left w:val="none" w:sz="0" w:space="0" w:color="auto"/>
            <w:bottom w:val="none" w:sz="0" w:space="0" w:color="auto"/>
            <w:right w:val="none" w:sz="0" w:space="0" w:color="auto"/>
          </w:divBdr>
        </w:div>
        <w:div w:id="1238243748">
          <w:marLeft w:val="0"/>
          <w:marRight w:val="0"/>
          <w:marTop w:val="0"/>
          <w:marBottom w:val="0"/>
          <w:divBdr>
            <w:top w:val="none" w:sz="0" w:space="0" w:color="auto"/>
            <w:left w:val="none" w:sz="0" w:space="0" w:color="auto"/>
            <w:bottom w:val="none" w:sz="0" w:space="0" w:color="auto"/>
            <w:right w:val="none" w:sz="0" w:space="0" w:color="auto"/>
          </w:divBdr>
        </w:div>
        <w:div w:id="1255750266">
          <w:marLeft w:val="0"/>
          <w:marRight w:val="0"/>
          <w:marTop w:val="0"/>
          <w:marBottom w:val="0"/>
          <w:divBdr>
            <w:top w:val="none" w:sz="0" w:space="0" w:color="auto"/>
            <w:left w:val="none" w:sz="0" w:space="0" w:color="auto"/>
            <w:bottom w:val="none" w:sz="0" w:space="0" w:color="auto"/>
            <w:right w:val="none" w:sz="0" w:space="0" w:color="auto"/>
          </w:divBdr>
        </w:div>
        <w:div w:id="1343555596">
          <w:marLeft w:val="0"/>
          <w:marRight w:val="0"/>
          <w:marTop w:val="0"/>
          <w:marBottom w:val="0"/>
          <w:divBdr>
            <w:top w:val="none" w:sz="0" w:space="0" w:color="auto"/>
            <w:left w:val="none" w:sz="0" w:space="0" w:color="auto"/>
            <w:bottom w:val="none" w:sz="0" w:space="0" w:color="auto"/>
            <w:right w:val="none" w:sz="0" w:space="0" w:color="auto"/>
          </w:divBdr>
        </w:div>
        <w:div w:id="1707827761">
          <w:marLeft w:val="0"/>
          <w:marRight w:val="0"/>
          <w:marTop w:val="0"/>
          <w:marBottom w:val="0"/>
          <w:divBdr>
            <w:top w:val="none" w:sz="0" w:space="0" w:color="auto"/>
            <w:left w:val="none" w:sz="0" w:space="0" w:color="auto"/>
            <w:bottom w:val="none" w:sz="0" w:space="0" w:color="auto"/>
            <w:right w:val="none" w:sz="0" w:space="0" w:color="auto"/>
          </w:divBdr>
        </w:div>
        <w:div w:id="1805653626">
          <w:marLeft w:val="0"/>
          <w:marRight w:val="0"/>
          <w:marTop w:val="0"/>
          <w:marBottom w:val="0"/>
          <w:divBdr>
            <w:top w:val="none" w:sz="0" w:space="0" w:color="auto"/>
            <w:left w:val="none" w:sz="0" w:space="0" w:color="auto"/>
            <w:bottom w:val="none" w:sz="0" w:space="0" w:color="auto"/>
            <w:right w:val="none" w:sz="0" w:space="0" w:color="auto"/>
          </w:divBdr>
        </w:div>
        <w:div w:id="1841651494">
          <w:marLeft w:val="0"/>
          <w:marRight w:val="0"/>
          <w:marTop w:val="0"/>
          <w:marBottom w:val="0"/>
          <w:divBdr>
            <w:top w:val="none" w:sz="0" w:space="0" w:color="auto"/>
            <w:left w:val="none" w:sz="0" w:space="0" w:color="auto"/>
            <w:bottom w:val="none" w:sz="0" w:space="0" w:color="auto"/>
            <w:right w:val="none" w:sz="0" w:space="0" w:color="auto"/>
          </w:divBdr>
        </w:div>
        <w:div w:id="2017924933">
          <w:marLeft w:val="0"/>
          <w:marRight w:val="0"/>
          <w:marTop w:val="0"/>
          <w:marBottom w:val="0"/>
          <w:divBdr>
            <w:top w:val="none" w:sz="0" w:space="0" w:color="auto"/>
            <w:left w:val="none" w:sz="0" w:space="0" w:color="auto"/>
            <w:bottom w:val="none" w:sz="0" w:space="0" w:color="auto"/>
            <w:right w:val="none" w:sz="0" w:space="0" w:color="auto"/>
          </w:divBdr>
        </w:div>
      </w:divsChild>
    </w:div>
    <w:div w:id="1987664216">
      <w:bodyDiv w:val="1"/>
      <w:marLeft w:val="0"/>
      <w:marRight w:val="0"/>
      <w:marTop w:val="0"/>
      <w:marBottom w:val="0"/>
      <w:divBdr>
        <w:top w:val="none" w:sz="0" w:space="0" w:color="auto"/>
        <w:left w:val="none" w:sz="0" w:space="0" w:color="auto"/>
        <w:bottom w:val="none" w:sz="0" w:space="0" w:color="auto"/>
        <w:right w:val="none" w:sz="0" w:space="0" w:color="auto"/>
      </w:divBdr>
    </w:div>
    <w:div w:id="1988166955">
      <w:bodyDiv w:val="1"/>
      <w:marLeft w:val="0"/>
      <w:marRight w:val="0"/>
      <w:marTop w:val="0"/>
      <w:marBottom w:val="0"/>
      <w:divBdr>
        <w:top w:val="none" w:sz="0" w:space="0" w:color="auto"/>
        <w:left w:val="none" w:sz="0" w:space="0" w:color="auto"/>
        <w:bottom w:val="none" w:sz="0" w:space="0" w:color="auto"/>
        <w:right w:val="none" w:sz="0" w:space="0" w:color="auto"/>
      </w:divBdr>
    </w:div>
    <w:div w:id="2048485445">
      <w:bodyDiv w:val="1"/>
      <w:marLeft w:val="0"/>
      <w:marRight w:val="0"/>
      <w:marTop w:val="0"/>
      <w:marBottom w:val="0"/>
      <w:divBdr>
        <w:top w:val="none" w:sz="0" w:space="0" w:color="auto"/>
        <w:left w:val="none" w:sz="0" w:space="0" w:color="auto"/>
        <w:bottom w:val="none" w:sz="0" w:space="0" w:color="auto"/>
        <w:right w:val="none" w:sz="0" w:space="0" w:color="auto"/>
      </w:divBdr>
    </w:div>
    <w:div w:id="2062629689">
      <w:bodyDiv w:val="1"/>
      <w:marLeft w:val="0"/>
      <w:marRight w:val="0"/>
      <w:marTop w:val="0"/>
      <w:marBottom w:val="0"/>
      <w:divBdr>
        <w:top w:val="none" w:sz="0" w:space="0" w:color="auto"/>
        <w:left w:val="none" w:sz="0" w:space="0" w:color="auto"/>
        <w:bottom w:val="none" w:sz="0" w:space="0" w:color="auto"/>
        <w:right w:val="none" w:sz="0" w:space="0" w:color="auto"/>
      </w:divBdr>
    </w:div>
    <w:div w:id="2080713942">
      <w:bodyDiv w:val="1"/>
      <w:marLeft w:val="0"/>
      <w:marRight w:val="0"/>
      <w:marTop w:val="0"/>
      <w:marBottom w:val="0"/>
      <w:divBdr>
        <w:top w:val="none" w:sz="0" w:space="0" w:color="auto"/>
        <w:left w:val="none" w:sz="0" w:space="0" w:color="auto"/>
        <w:bottom w:val="none" w:sz="0" w:space="0" w:color="auto"/>
        <w:right w:val="none" w:sz="0" w:space="0" w:color="auto"/>
      </w:divBdr>
    </w:div>
    <w:div w:id="2087066506">
      <w:bodyDiv w:val="1"/>
      <w:marLeft w:val="0"/>
      <w:marRight w:val="0"/>
      <w:marTop w:val="0"/>
      <w:marBottom w:val="0"/>
      <w:divBdr>
        <w:top w:val="none" w:sz="0" w:space="0" w:color="auto"/>
        <w:left w:val="none" w:sz="0" w:space="0" w:color="auto"/>
        <w:bottom w:val="none" w:sz="0" w:space="0" w:color="auto"/>
        <w:right w:val="none" w:sz="0" w:space="0" w:color="auto"/>
      </w:divBdr>
    </w:div>
    <w:div w:id="2095590185">
      <w:bodyDiv w:val="1"/>
      <w:marLeft w:val="0"/>
      <w:marRight w:val="0"/>
      <w:marTop w:val="0"/>
      <w:marBottom w:val="0"/>
      <w:divBdr>
        <w:top w:val="none" w:sz="0" w:space="0" w:color="auto"/>
        <w:left w:val="none" w:sz="0" w:space="0" w:color="auto"/>
        <w:bottom w:val="none" w:sz="0" w:space="0" w:color="auto"/>
        <w:right w:val="none" w:sz="0" w:space="0" w:color="auto"/>
      </w:divBdr>
    </w:div>
    <w:div w:id="2106799113">
      <w:bodyDiv w:val="1"/>
      <w:marLeft w:val="0"/>
      <w:marRight w:val="0"/>
      <w:marTop w:val="0"/>
      <w:marBottom w:val="0"/>
      <w:divBdr>
        <w:top w:val="none" w:sz="0" w:space="0" w:color="auto"/>
        <w:left w:val="none" w:sz="0" w:space="0" w:color="auto"/>
        <w:bottom w:val="none" w:sz="0" w:space="0" w:color="auto"/>
        <w:right w:val="none" w:sz="0" w:space="0" w:color="auto"/>
      </w:divBdr>
    </w:div>
    <w:div w:id="2108649147">
      <w:bodyDiv w:val="1"/>
      <w:marLeft w:val="0"/>
      <w:marRight w:val="0"/>
      <w:marTop w:val="0"/>
      <w:marBottom w:val="0"/>
      <w:divBdr>
        <w:top w:val="none" w:sz="0" w:space="0" w:color="auto"/>
        <w:left w:val="none" w:sz="0" w:space="0" w:color="auto"/>
        <w:bottom w:val="none" w:sz="0" w:space="0" w:color="auto"/>
        <w:right w:val="none" w:sz="0" w:space="0" w:color="auto"/>
      </w:divBdr>
    </w:div>
    <w:div w:id="2116056936">
      <w:bodyDiv w:val="1"/>
      <w:marLeft w:val="0"/>
      <w:marRight w:val="0"/>
      <w:marTop w:val="0"/>
      <w:marBottom w:val="0"/>
      <w:divBdr>
        <w:top w:val="none" w:sz="0" w:space="0" w:color="auto"/>
        <w:left w:val="none" w:sz="0" w:space="0" w:color="auto"/>
        <w:bottom w:val="none" w:sz="0" w:space="0" w:color="auto"/>
        <w:right w:val="none" w:sz="0" w:space="0" w:color="auto"/>
      </w:divBdr>
    </w:div>
    <w:div w:id="2122064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oter" Target="footer3.xml"/><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3.xml"/><Relationship Id="rId2" Type="http://schemas.openxmlformats.org/officeDocument/2006/relationships/customXml" Target="../customXml/item1.xml"/><Relationship Id="rId16" Type="http://schemas.openxmlformats.org/officeDocument/2006/relationships/image" Target="media/image8.png"/><Relationship Id="rId20" Type="http://schemas.openxmlformats.org/officeDocument/2006/relationships/image" Target="media/image12.pn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hyperlink" Target="mailto:dpushina@hotmail.com" TargetMode="External"/><Relationship Id="rId14" Type="http://schemas.openxmlformats.org/officeDocument/2006/relationships/image" Target="media/image6.png"/><Relationship Id="rId22" Type="http://schemas.openxmlformats.org/officeDocument/2006/relationships/header" Target="header2.xml"/><Relationship Id="rId27"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yaog\My%20Documents\--%20procedia\PROENG\Templates\newtemplate.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Version="2008">
  <b:Source>
    <b:Tag>Cre19</b:Tag>
    <b:SourceType>Misc</b:SourceType>
    <b:Guid>{04C7F662-6476-4321-8DA4-89A6D5253A24}</b:Guid>
    <b:Title>Creating resilience to natural disasters through FFP land administration – an application in Nepal</b:Title>
    <b:JournalName>20th Annual World Bank Conference on Land and Poverty 2019</b:JournalName>
    <b:Year>2019</b:Year>
    <b:City>Washington DC</b:City>
    <b:CountryRegion>United States</b:CountryRegion>
    <b:Publisher>20th Annual World Bank Conference on Land and Poverty 2019</b:Publisher>
    <b:Author>
      <b:Author>
        <b:NameList>
          <b:Person>
            <b:Last>Unger</b:Last>
            <b:First>E.M.</b:First>
          </b:Person>
          <b:Person>
            <b:Last>Chhatkuli</b:Last>
            <b:First>Raja</b:First>
            <b:Middle>Ram,</b:Middle>
          </b:Person>
          <b:Person>
            <b:Last>Antonio</b:Last>
            <b:First>D</b:First>
          </b:Person>
          <b:Person>
            <b:Last>Lemmen</b:Last>
            <b:First>C.H.J.</b:First>
          </b:Person>
          <b:Person>
            <b:Last>Zevenbergen</b:Last>
            <b:First>J.A.</b:First>
          </b:Person>
          <b:Person>
            <b:Last>Bennett</b:Last>
            <b:First>R.M.</b:First>
          </b:Person>
          <b:Person>
            <b:Last>Dijkstra</b:Last>
            <b:First>Paula</b:First>
          </b:Person>
        </b:NameList>
      </b:Author>
    </b:Author>
    <b:RefOrder>3</b:RefOrder>
  </b:Source>
  <b:Source>
    <b:Tag>Ung19</b:Tag>
    <b:SourceType>JournalArticle</b:SourceType>
    <b:Guid>{96400CFC-83FA-42F7-B561-4D1092EBEF85}</b:Guid>
    <b:Title>Application of LADM for disaster prone areas and communities</b:Title>
    <b:Year>2019</b:Year>
    <b:Author>
      <b:Author>
        <b:NameList>
          <b:Person>
            <b:Last>Unger</b:Last>
            <b:First>Eva</b:First>
            <b:Middle>Maria</b:Middle>
          </b:Person>
          <b:Person>
            <b:Last>Zevenbergen</b:Last>
            <b:First>Jaap</b:First>
          </b:Person>
          <b:Person>
            <b:Last>Bennett</b:Last>
            <b:First>Rohan</b:First>
          </b:Person>
          <b:Person>
            <b:Last>Lemmen</b:Last>
            <b:First>Christiaan</b:First>
          </b:Person>
        </b:NameList>
      </b:Author>
    </b:Author>
    <b:JournalName>Land Use Policy</b:JournalName>
    <b:Pages>118-126</b:Pages>
    <b:Volume>80</b:Volume>
    <b:Month>January</b:Month>
    <b:RefOrder>4</b:RefOrder>
  </b:Source>
  <b:Source>
    <b:Tag>Cor11</b:Tag>
    <b:SourceType>Misc</b:SourceType>
    <b:Guid>{E6FA20CA-C3CC-4523-92C5-6B32BE323DCF}</b:Guid>
    <b:Year>2011</b:Year>
    <b:Month>September</b:Month>
    <b:Author>
      <b:Author>
        <b:NameList>
          <b:Person>
            <b:Last>Correa</b:Last>
            <b:First>Elena</b:First>
          </b:Person>
          <b:Person>
            <b:Last>Ramírez</b:Last>
            <b:First>Fernando</b:First>
          </b:Person>
          <b:Person>
            <b:Last>Sanahuja</b:Last>
            <b:First>Haris</b:First>
          </b:Person>
        </b:NameList>
      </b:Author>
    </b:Author>
    <b:City>Whashington</b:City>
    <b:CountryRegion>E.U.A.</b:CountryRegion>
    <b:Publisher>The World Bank</b:Publisher>
    <b:Pages>142</b:Pages>
    <b:Volume>XII</b:Volume>
    <b:LCID>en-US</b:LCID>
    <b:Title>Populations at Risk of Disaster: A Resettlement Guide</b:Title>
    <b:RefOrder>2</b:RefOrder>
  </b:Source>
  <b:Source>
    <b:Tag>Mit14</b:Tag>
    <b:SourceType>JournalArticle</b:SourceType>
    <b:Guid>{80F9BAA4-4033-4F72-B12C-999A803FAB4F}</b:Guid>
    <b:Title>Land valuation: a key tool for disaster risk management</b:Title>
    <b:Year>2014</b:Year>
    <b:Pages>36-69</b:Pages>
    <b:Author>
      <b:Author>
        <b:NameList>
          <b:Person>
            <b:Last>Mitchell</b:Last>
            <b:First>David</b:First>
          </b:Person>
          <b:Person>
            <b:Last>Myers</b:Last>
            <b:First>Matt</b:First>
          </b:Person>
          <b:Person>
            <b:Last>Grant</b:Last>
            <b:First>Donald</b:First>
          </b:Person>
        </b:NameList>
      </b:Author>
    </b:Author>
    <b:JournalName>Land Tenure Journal</b:JournalName>
    <b:Volume>I</b:Volume>
    <b:LCID>es-EC</b:LCID>
    <b:RefOrder>13</b:RefOrder>
  </b:Source>
  <b:Source>
    <b:Tag>Sau16</b:Tag>
    <b:SourceType>JournalArticle</b:SourceType>
    <b:Guid>{B4688A98-A99A-4D60-B2BB-DC60A38352F1}</b:Guid>
    <b:Title>Innovative land use planning for natural hazard risk reduction: A consequence-driven approach from New Zealand</b:Title>
    <b:Year>2016</b:Year>
    <b:Author>
      <b:Author>
        <b:NameList>
          <b:Person>
            <b:Last>Saunders</b:Last>
            <b:First>Wendy</b:First>
          </b:Person>
          <b:Person>
            <b:Last>Kilvington</b:Last>
            <b:First>Margaret</b:First>
          </b:Person>
        </b:NameList>
      </b:Author>
    </b:Author>
    <b:JournalName>International Journal of Disaster Risk Reduction</b:JournalName>
    <b:Pages>244-255</b:Pages>
    <b:Issue>18</b:Issue>
    <b:RefOrder>5</b:RefOrder>
  </b:Source>
  <b:Source>
    <b:Tag>Sau13</b:Tag>
    <b:SourceType>Misc</b:SourceType>
    <b:Guid>{115B29AD-AC7C-417E-99F5-3622F5F0E6C8}</b:Guid>
    <b:Author>
      <b:Author>
        <b:NameList>
          <b:Person>
            <b:Last>Saunders</b:Last>
            <b:First>W.</b:First>
          </b:Person>
          <b:Person>
            <b:Last>Beban</b:Last>
            <b:First>J.</b:First>
          </b:Person>
          <b:Person>
            <b:Last>Kilvington</b:Last>
            <b:First>M.</b:First>
          </b:Person>
        </b:NameList>
      </b:Author>
    </b:Author>
    <b:Year>2013</b:Year>
    <b:City>Lower Hutt</b:City>
    <b:CountryRegion>Nueva Zelanda</b:CountryRegion>
    <b:Publisher>Institute of Geological and Nuclear Sciences Limited</b:Publisher>
    <b:Pages>97</b:Pages>
    <b:Issue>67</b:Issue>
    <b:LCID>es-EC</b:LCID>
    <b:Title>Risk-based land use planning for natural hazard risk reduction</b:Title>
    <b:RefOrder>7</b:RefOrder>
  </b:Source>
  <b:Source>
    <b:Tag>Usi13</b:Tag>
    <b:SourceType>Misc</b:SourceType>
    <b:Guid>{9D7D2BD4-0054-4B0D-AE3F-50FCFAE09082}</b:Guid>
    <b:Year>2013</b:Year>
    <b:Month>October</b:Month>
    <b:City>Melbourne</b:City>
    <b:StateProvince>Victoria</b:StateProvince>
    <b:CountryRegion>Australia</b:CountryRegion>
    <b:Publisher>The University of Melbourne</b:Publisher>
    <b:Author>
      <b:Author>
        <b:NameList>
          <b:Person>
            <b:Last>Potts</b:Last>
            <b:First>Katie</b:First>
            <b:Middle>E.</b:Middle>
          </b:Person>
        </b:NameList>
      </b:Author>
    </b:Author>
    <b:LCID>en-US</b:LCID>
    <b:Title>Using land administration for land risk management</b:Title>
    <b:RefOrder>6</b:RefOrder>
  </b:Source>
  <b:Source>
    <b:Tag>Agu05</b:Tag>
    <b:SourceType>Book</b:SourceType>
    <b:Guid>{8314CD5E-D5AF-4E3B-8725-B149ABB90504}</b:Guid>
    <b:Title>Prevención de Riesgos Asociados con la Erupción del Volcán Cotopaxi 2004 - 2005</b:Title>
    <b:Year>2005</b:Year>
    <b:Author>
      <b:Author>
        <b:NameList>
          <b:Person>
            <b:Last>Aguilera</b:Last>
            <b:First>Eduardo</b:First>
          </b:Person>
          <b:Person>
            <b:Last>Toulkeridis</b:Last>
            <b:First>Theófilos</b:First>
          </b:Person>
        </b:NameList>
      </b:Author>
    </b:Author>
    <b:City>Quito</b:City>
    <b:Publisher>Fundación para el Desarrollo Socioambiental FOES</b:Publisher>
    <b:RefOrder>8</b:RefOrder>
  </b:Source>
  <b:Source>
    <b:Tag>Osw17</b:Tag>
    <b:SourceType>Misc</b:SourceType>
    <b:Guid>{8244B57B-25E3-4CEE-934F-63B9A4CB4799}</b:Guid>
    <b:Author>
      <b:Author>
        <b:NameList>
          <b:Person>
            <b:Last>Padilla</b:Last>
            <b:First>Oswaldo</b:First>
          </b:Person>
        </b:NameList>
      </b:Author>
    </b:Author>
    <b:Year>2017</b:Year>
    <b:Month>Mayo</b:Month>
    <b:City>Alcalá de Henares</b:City>
    <b:StateProvince>Madrid</b:StateProvince>
    <b:CountryRegion>España</b:CountryRegion>
    <b:Publisher>Universidad de Alcalá; Departamento de Geología, Geografía y Medio Ambiente</b:Publisher>
    <b:Title>Cálculo de los tiempos de evacuación horizontal y vertical en caso de una eventual erupción del volcán Cotopaxi</b:Title>
    <b:RefOrder>9</b:RefOrder>
  </b:Source>
  <b:Source>
    <b:Tag>Peñ16</b:Tag>
    <b:SourceType>Misc</b:SourceType>
    <b:Guid>{8A9F5521-7A8D-4C0E-BA25-22105BE8EDBF}</b:Guid>
    <b:Author>
      <b:Author>
        <b:NameList>
          <b:Person>
            <b:Last>Peña</b:Last>
            <b:First>Margarita</b:First>
          </b:Person>
        </b:NameList>
      </b:Author>
    </b:Author>
    <b:Year>2016</b:Year>
    <b:Month>Junio</b:Month>
    <b:City>Madrid</b:City>
    <b:CountryRegion>España</b:CountryRegion>
    <b:Publisher>Universidad Politécnica de Madrid, Escuela Técnica Superior de Ingeniería Civil</b:Publisher>
    <b:Title>Análisis de Vulnerabilidad y Mitigación de Riesgos Estructurales en las Infraestructuras de Abastecimiento de Agua, en el Distrito Metropolitano de Quito (DMQ), en caso de erupción del Volcán Cotopaxi (Ecuador).</b:Title>
    <b:RefOrder>10</b:RefOrder>
  </b:Source>
  <b:Source>
    <b:Tag>Nar07</b:Tag>
    <b:SourceType>Misc</b:SourceType>
    <b:Guid>{F102894B-70C6-4F4B-B572-92DAC444558B}</b:Guid>
    <b:Author>
      <b:Author>
        <b:NameList>
          <b:Person>
            <b:Last>Narváez</b:Last>
            <b:First>César</b:First>
          </b:Person>
        </b:NameList>
      </b:Author>
    </b:Author>
    <b:Year>2007</b:Year>
    <b:Month>Agosto</b:Month>
    <b:City>Quito</b:City>
    <b:CountryRegion>Ecuador</b:CountryRegion>
    <b:Publisher>Escuela Politécnica Nacional, Escuela de Postgrado en Ingeniería y Ciencias</b:Publisher>
    <b:Title>Desarrollo de la metodología para el análisis de vulnerabilidad ante una eventual erupción del volcán Cotopaxi</b:Title>
    <b:RefOrder>11</b:RefOrder>
  </b:Source>
  <b:Source>
    <b:Tag>Apl13</b:Tag>
    <b:SourceType>Misc</b:SourceType>
    <b:Guid>{D2338880-CAC9-4A9A-9DD5-81AF123DF71E}</b:Guid>
    <b:Year>2013</b:Year>
    <b:Month>Febrero</b:Month>
    <b:City>Sangolquí</b:City>
    <b:CountryRegion>Ecuador</b:CountryRegion>
    <b:Publisher>Universidad de las Fuerzas Armadas - ESPE, Carrera de Ingeniería Geográfica y del Medio Ambiente</b:Publisher>
    <b:Author>
      <b:Author>
        <b:NameList>
          <b:Person>
            <b:Last>Tibanlombo</b:Last>
            <b:First>Johanna</b:First>
          </b:Person>
          <b:Person>
            <b:Last>Villacís</b:Last>
            <b:First>Alexandra</b:First>
          </b:Person>
        </b:NameList>
      </b:Author>
    </b:Author>
    <b:Title>Aplicación y sistematización de la propuesta metodológica para el análisis de vulnerabilidad de la parroquia Sangolquí, del cantón Rumiñahui</b:Title>
    <b:RefOrder>14</b:RefOrder>
  </b:Source>
  <b:Source>
    <b:Tag>Rod16</b:Tag>
    <b:SourceType>JournalArticle</b:SourceType>
    <b:Guid>{F664E3BB-B11D-488C-A720-C9F2B06E7062}</b:Guid>
    <b:Author>
      <b:Author>
        <b:NameList>
          <b:Person>
            <b:Last>Rodriguez</b:Last>
            <b:First>Fabian</b:First>
          </b:Person>
          <b:Person>
            <b:Last>Toulkeridis</b:Last>
            <b:First>Theofilos</b:First>
          </b:Person>
          <b:Person>
            <b:Last>Sandoval</b:Last>
            <b:First>Washington</b:First>
          </b:Person>
          <b:Person>
            <b:Last>Padilla</b:Last>
            <b:First>Oswaldo</b:First>
          </b:Person>
          <b:Person>
            <b:Last>Mato</b:Last>
            <b:First>Fernando</b:First>
          </b:Person>
        </b:NameList>
      </b:Author>
    </b:Author>
    <b:Title>Economic risk assessment of Cotopaxi volcano, Ecuador, in case of a future lahar emplacement</b:Title>
    <b:Year>2016</b:Year>
    <b:JournalName>Natural Hazards</b:JournalName>
    <b:Pages>605-618</b:Pages>
    <b:RefOrder>12</b:RefOrder>
  </b:Source>
  <b:Source>
    <b:Tag>UNI17</b:Tag>
    <b:SourceType>ConferenceProceedings</b:SourceType>
    <b:Guid>{ACA51761-9483-45A9-93E5-538F717241CE}</b:Guid>
    <b:Title>Plataforma Global 2017 para la Reducción del Riesgo de Desastres</b:Title>
    <b:Year>2017</b:Year>
    <b:City>Cancún</b:City>
    <b:Publisher>Oficina de las Naciones Unidas para la Reducción del Riesgo de Desastres</b:Publisher>
    <b:Author>
      <b:Author>
        <b:Corporate>UNISDR</b:Corporate>
      </b:Author>
    </b:Author>
    <b:Pages>107</b:Pages>
    <b:ConferenceName>Memoria</b:ConferenceName>
    <b:LCID>es-EC</b:LCID>
    <b:RefOrder>15</b:RefOrder>
  </b:Source>
  <b:Source>
    <b:Tag>Reb16</b:Tag>
    <b:SourceType>Book</b:SourceType>
    <b:Guid>{92220373-D050-465C-8885-0BB50C17AEE4}</b:Guid>
    <b:Title>El riesgo y su gestiòn en Ecuador: Una mirada de geografìa social y polìtica</b:Title>
    <b:Pages>148</b:Pages>
    <b:Year>2016</b:Year>
    <b:City>Quito</b:City>
    <b:Publisher>Centro de Publicaciones PUCE</b:Publisher>
    <b:Author>
      <b:Author>
        <b:NameList>
          <b:Person>
            <b:Last>Rebotier</b:Last>
            <b:First>Julien</b:First>
          </b:Person>
        </b:NameList>
      </b:Author>
    </b:Author>
    <b:ShortTitle>Serie de publicaciones en ciencias geogràficas</b:ShortTitle>
    <b:Edition>Primera</b:Edition>
    <b:LCID>es-EC</b:LCID>
    <b:RefOrder>16</b:RefOrder>
  </b:Source>
  <b:Source>
    <b:Tag>Ene05</b:Tag>
    <b:SourceType>JournalArticle</b:SourceType>
    <b:Guid>{79AAD75F-D071-4296-8284-1395BF13EE36}</b:Guid>
    <b:Title>Building Modern Land Administration Systems in Developed Economies</b:Title>
    <b:Year>2005</b:Year>
    <b:Author>
      <b:Author>
        <b:NameList>
          <b:Person>
            <b:Last>Enemark</b:Last>
            <b:First>S.</b:First>
          </b:Person>
          <b:Person>
            <b:Last>Williamson</b:Last>
            <b:First>I.</b:First>
          </b:Person>
          <b:Person>
            <b:Last>Wallace</b:Last>
            <b:First>J.</b:First>
          </b:Person>
        </b:NameList>
      </b:Author>
    </b:Author>
    <b:JournalName>Spatial Science</b:JournalName>
    <b:Pages>51-68</b:Pages>
    <b:Volume>L</b:Volume>
    <b:Issue>2</b:Issue>
    <b:LCID>es-EC</b:LCID>
    <b:RefOrder>17</b:RefOrder>
  </b:Source>
  <b:Source>
    <b:Tag>LaH15</b:Tag>
    <b:SourceType>InternetSite</b:SourceType>
    <b:Guid>{C2D2FDC3-52B7-4847-A39C-28573B7C618F}</b:Guid>
    <b:Title>La Hora</b:Title>
    <b:Year>2015</b:Year>
    <b:Month>Octubre</b:Month>
    <b:Day>12</b:Day>
    <b:Author>
      <b:Author>
        <b:Corporate>La Hora</b:Corporate>
      </b:Author>
    </b:Author>
    <b:URL>https://lahora.com.ec/noticia/1101873114/el-agua-de-quito-no-serc3a1-afectada-por-el-volcc3a1n-cotopaxi</b:URL>
    <b:RefOrder>18</b:RefOrder>
  </b:Source>
  <b:Source>
    <b:Tag>EPM17</b:Tag>
    <b:SourceType>InternetSite</b:SourceType>
    <b:Guid>{179DDC58-53A0-4CB3-A3B5-2E15D614551D}</b:Guid>
    <b:Title>iagua</b:Title>
    <b:Year>2017</b:Year>
    <b:Month>Octubre</b:Month>
    <b:Day>31</b:Day>
    <b:Author>
      <b:Author>
        <b:NameList>
          <b:Person>
            <b:Last>EPMAPS</b:Last>
          </b:Person>
        </b:NameList>
      </b:Author>
    </b:Author>
    <b:InternetSiteTitle>iagua</b:InternetSiteTitle>
    <b:URL>https://www.iagua.es/noticias/espana-ecuador/epmaps-agua-quito/17/10/30/agua-quito-nos-preparamos-posibles-emergencias</b:URL>
    <b:YearAccessed>2019</b:YearAccessed>
    <b:MonthAccessed>Marzo</b:MonthAccessed>
    <b:DayAccessed>12</b:DayAccessed>
    <b:RefOrder>19</b:RefOrder>
  </b:Source>
  <b:Source>
    <b:Tag>Com16</b:Tag>
    <b:SourceType>InternetSite</b:SourceType>
    <b:Guid>{F4D1F49C-BB29-4D15-8973-F9F230E41FA5}</b:Guid>
    <b:Title>El Comercio</b:Title>
    <b:Year>2016</b:Year>
    <b:Month>Agosto</b:Month>
    <b:Day>31</b:Day>
    <b:URL>https://www.elcomercio.com/actualidad/agua-quito-erupcion-volcan-cotopaxi.html</b:URL>
    <b:Author>
      <b:Author>
        <b:Corporate>El Comercio</b:Corporate>
      </b:Author>
    </b:Author>
    <b:YearAccessed>2019</b:YearAccessed>
    <b:MonthAccessed>Marzo</b:MonthAccessed>
    <b:DayAccessed>12</b:DayAccessed>
    <b:RefOrder>20</b:RefOrder>
  </b:Source>
  <b:Source>
    <b:Tag>ElC15</b:Tag>
    <b:SourceType>InternetSite</b:SourceType>
    <b:Guid>{C9A850AC-83CC-4D88-A9AA-19A26A207C5F}</b:Guid>
    <b:Title>El Comercio</b:Title>
    <b:Year>2015</b:Year>
    <b:Month>Septiembre</b:Month>
    <b:Day>2</b:Day>
    <b:Author>
      <b:Author>
        <b:Corporate>El Comercio</b:Corporate>
      </b:Author>
    </b:Author>
    <b:URL>https://www.elcomercio.com/actualidad/volcancotopaxi-aguapotable-loschillos-prevencion.html</b:URL>
    <b:RefOrder>21</b:RefOrder>
  </b:Source>
  <b:Source>
    <b:Tag>Ber15</b:Tag>
    <b:SourceType>Book</b:SourceType>
    <b:Guid>{3CB787F2-2790-4D70-80A8-2FA64F27F952}</b:Guid>
    <b:Title>Gestión de Riesgo en el Ecuador</b:Title>
    <b:Year>2015</b:Year>
    <b:City>Sangolquí</b:City>
    <b:Publisher>Editorial ESPE</b:Publisher>
    <b:LCID>es-EC</b:LCID>
    <b:Author>
      <b:Author>
        <b:Corporate>Bernabé, et al.</b:Corporate>
      </b:Author>
    </b:Author>
    <b:RefOrder>22</b:RefOrder>
  </b:Source>
  <b:Source>
    <b:Tag>Sal17</b:Tag>
    <b:SourceType>JournalArticle</b:SourceType>
    <b:Guid>{7C368DEB-83E1-4F19-81AC-F565EE9E44A7}</b:Guid>
    <b:Title>Management of Natural Risks and Disasters in a River Basin Within the New Cadastre Concept</b:Title>
    <b:Year>2017</b:Year>
    <b:Author>
      <b:Author>
        <b:NameList>
          <b:Person>
            <b:Last>Salazar</b:Last>
            <b:First>Rodolfo</b:First>
          </b:Person>
          <b:Person>
            <b:Last>Miranda</b:Last>
            <b:First>David</b:First>
          </b:Person>
          <b:Person>
            <b:Last>Urbano</b:Last>
            <b:First>Fra</b:First>
          </b:Person>
        </b:NameList>
      </b:Author>
    </b:Author>
    <b:JournalName>Cadastre: Geo-Information Innovations in Land Administration</b:JournalName>
    <b:Pages>47-54</b:Pages>
    <b:RefOrder>23</b:RefOrder>
  </b:Source>
  <b:Source>
    <b:Tag>Tji13</b:Tag>
    <b:SourceType>JournalArticle</b:SourceType>
    <b:Guid>{FAD37CC9-888F-47F7-8439-5312B3B1B7FE}</b:Guid>
    <b:Author>
      <b:Author>
        <b:NameList>
          <b:Person>
            <b:Last>Tjia</b:Last>
            <b:First>Dinao</b:First>
          </b:Person>
          <b:Person>
            <b:Last>Coetzee</b:Last>
            <b:First>Serena</b:First>
          </b:Person>
        </b:NameList>
      </b:Author>
    </b:Author>
    <b:Title>Application of the Land Administration Domain Model to the City of Johannesburg Land Information System</b:Title>
    <b:Year>2013</b:Year>
    <b:Month>June</b:Month>
    <b:JournalName>South African Journal of Geomatics</b:JournalName>
    <b:Pages>260-279</b:Pages>
    <b:City>Johannesburg</b:City>
    <b:Volume>II</b:Volume>
    <b:Issue>3</b:Issue>
    <b:LCID>en-US</b:LCID>
    <b:RefOrder>24</b:RefOrder>
  </b:Source>
  <b:Source>
    <b:Tag>Erb13</b:Tag>
    <b:SourceType>Misc</b:SourceType>
    <b:Guid>{4B59AD09-12DB-4FF7-B9BA-1D1707430F97}</b:Guid>
    <b:Year>2013</b:Year>
    <b:City>Cambridge</b:City>
    <b:Publisher>Lincoln Institute of Land Policy</b:Publisher>
    <b:Author>
      <b:Author>
        <b:NameList>
          <b:Person>
            <b:Last>Erba</b:Last>
            <b:First>Diego</b:First>
          </b:Person>
          <b:Person>
            <b:Last>Piumetto</b:Last>
            <b:First>Mario</b:First>
          </b:Person>
        </b:NameList>
      </b:Author>
    </b:Author>
    <b:PublicationTitle>Catastro Territorial Multifinalitario</b:PublicationTitle>
    <b:CountryRegion>Estados Unidos</b:CountryRegion>
    <b:RefOrder>25</b:RefOrder>
  </b:Source>
  <b:Source>
    <b:Tag>GAD15</b:Tag>
    <b:SourceType>Misc</b:SourceType>
    <b:Guid>{19D3D00E-38FF-45CF-99E7-F6C19BEDD31C}</b:Guid>
    <b:Year>2015</b:Year>
    <b:Author>
      <b:Author>
        <b:Corporate>GADMUR</b:Corporate>
      </b:Author>
    </b:Author>
    <b:PublicationTitle>Plan de Desarrollo y Ordenamiento territorial Cantón Rumiñahui 2012 – 2025</b:PublicationTitle>
    <b:City>Sangolquí</b:City>
    <b:CountryRegion>Ecuador</b:CountryRegion>
    <b:Publisher>Gobierno Autónomo Descentralizado Municipal Cantón Rumiñahui</b:Publisher>
    <b:RefOrder>26</b:RefOrder>
  </b:Source>
  <b:Source>
    <b:Tag>GAD17</b:Tag>
    <b:SourceType>Misc</b:SourceType>
    <b:Guid>{AC9F6AE8-B0E2-4986-86B9-50C9064227B6}</b:Guid>
    <b:Author>
      <b:Author>
        <b:Corporate>GADMUR</b:Corporate>
      </b:Author>
    </b:Author>
    <b:Year>2017</b:Year>
    <b:Month>Abril</b:Month>
    <b:Day>23</b:Day>
    <b:City>Sangolquí</b:City>
    <b:CountryRegion>Ecuador</b:CountryRegion>
    <b:Publisher>Gobierno Autonomo Descentralizado del Cantón Rumiñahui</b:Publisher>
    <b:Edition>8</b:Edition>
    <b:PublicationTitle>Rumiñahui y su gente</b:PublicationTitle>
    <b:RefOrder>27</b:RefOrder>
  </b:Source>
  <b:Source>
    <b:Tag>GLT18</b:Tag>
    <b:SourceType>Misc</b:SourceType>
    <b:Guid>{78197B64-2F03-4905-8312-214407187FB8}</b:Guid>
    <b:Year>2018</b:Year>
    <b:Month>October</b:Month>
    <b:Author>
      <b:Author>
        <b:Corporate>GLTN</b:Corporate>
      </b:Author>
    </b:Author>
    <b:City>Nairobi</b:City>
    <b:CountryRegion>Kenia</b:CountryRegion>
    <b:Publisher>UN-Habitat</b:Publisher>
    <b:LCID>en-US</b:LCID>
    <b:PublicationTitle>STDM 1.7 User Manual</b:PublicationTitle>
    <b:RefOrder>28</b:RefOrder>
  </b:Source>
  <b:Source>
    <b:Tag>ISO12</b:Tag>
    <b:SourceType>Misc</b:SourceType>
    <b:Guid>{0972EC65-7526-45CF-844E-60661D286B0C}</b:Guid>
    <b:Year>2012</b:Year>
    <b:Month>December</b:Month>
    <b:Author>
      <b:Author>
        <b:Corporate>ISO</b:Corporate>
      </b:Author>
    </b:Author>
    <b:PublicationTitle>Geographic information — Land Administration Domain Model (LADM)</b:PublicationTitle>
    <b:City>Ginebra</b:City>
    <b:CountryRegion>Suiza</b:CountryRegion>
    <b:Publisher>International Organization for Standardization</b:Publisher>
    <b:Edition>1</b:Edition>
    <b:LCID>en-US</b:LCID>
    <b:RefOrder>29</b:RefOrder>
  </b:Source>
  <b:Source>
    <b:Tag>Ker03</b:Tag>
    <b:SourceType>Misc</b:SourceType>
    <b:Guid>{94FAF3F7-8AF5-4B22-A7B8-8639BBFE7A6F}</b:Guid>
    <b:Year>2003</b:Year>
    <b:Publisher>Ministry for the Environment</b:Publisher>
    <b:City>Wellington</b:City>
    <b:Month>July</b:Month>
    <b:CountryRegion>New Zealand</b:CountryRegion>
    <b:Author>
      <b:Author>
        <b:NameList>
          <b:Person>
            <b:Last>Kerr</b:Last>
            <b:First>Janine</b:First>
          </b:Person>
          <b:Person>
            <b:Last>Nathan</b:Last>
            <b:First>Simon</b:First>
          </b:Person>
          <b:Person>
            <b:Last>Van Dissen</b:Last>
            <b:First>Russ</b:First>
          </b:Person>
          <b:Person>
            <b:Last>Webb</b:Last>
            <b:First>Peter</b:First>
          </b:Person>
          <b:Person>
            <b:Last>Brunsdon</b:Last>
            <b:First>David</b:First>
          </b:Person>
          <b:Person>
            <b:Last>King</b:Last>
            <b:First>Andrew</b:First>
          </b:Person>
        </b:NameList>
      </b:Author>
    </b:Author>
    <b:LCID>en-US</b:LCID>
    <b:PublicationTitle>Planning for Development of Land on or Close to Active Faults</b:PublicationTitle>
    <b:RefOrder>30</b:RefOrder>
  </b:Source>
  <b:Source>
    <b:Tag>ONU15</b:Tag>
    <b:SourceType>Misc</b:SourceType>
    <b:Guid>{80304D98-FE29-4746-B6ED-0AC8C0F0157A}</b:Guid>
    <b:PublicationTitle>Transformar nuestro mundo: la Agenda 2030 para el Desarrollo Sostenible</b:PublicationTitle>
    <b:Year>2015</b:Year>
    <b:City>Washington</b:City>
    <b:CountryRegion>E.U.A.</b:CountryRegion>
    <b:Publisher>Naciones Unidas</b:Publisher>
    <b:Author>
      <b:Author>
        <b:Corporate>ONU</b:Corporate>
      </b:Author>
    </b:Author>
    <b:Pages>40</b:Pages>
    <b:LCID>es-EC</b:LCID>
    <b:RefOrder>31</b:RefOrder>
  </b:Source>
  <b:Source>
    <b:Tag>ASN09</b:Tag>
    <b:SourceType>Misc</b:SourceType>
    <b:Guid>{3CD6FAD0-B6A7-4FA4-A123-133F960F1775}</b:Guid>
    <b:Author>
      <b:Author>
        <b:Corporate>AS/NZS ISO</b:Corporate>
      </b:Author>
    </b:Author>
    <b:PublicationTitle>AS/NZS ISO 31000:2009, Risk management—Principles and guidelines</b:PublicationTitle>
    <b:Year>2009</b:Year>
    <b:StateProvince>Sidney, Wellington</b:StateProvince>
    <b:CountryRegion>Autralia, Nueva Zelanda</b:CountryRegion>
    <b:Publisher>Australian/New Zealand Standard</b:Publisher>
    <b:Edition>3</b:Edition>
    <b:LCID>es-EC</b:LCID>
    <b:RefOrder>32</b:RefOrder>
  </b:Source>
  <b:Source>
    <b:Tag>SEN17</b:Tag>
    <b:SourceType>Misc</b:SourceType>
    <b:Guid>{5F8173A5-E9E4-4511-9FC9-0615505DFD23}</b:Guid>
    <b:Author>
      <b:Author>
        <b:Corporate>SENPLADES</b:Corporate>
      </b:Author>
    </b:Author>
    <b:PublicationTitle>Plan Nacional de Desarrollo 2017-2021</b:PublicationTitle>
    <b:Year>2017</b:Year>
    <b:City>Quito</b:City>
    <b:CountryRegion>Ecuador</b:CountryRegion>
    <b:Publisher>Secretaría Nacional de Planificación y Desarrollo, Senplades.</b:Publisher>
    <b:LCID>es-EC</b:LCID>
    <b:RefOrder>33</b:RefOrder>
  </b:Source>
  <b:Source>
    <b:Tag>MarcadorDePosición1</b:Tag>
    <b:SourceType>Misc</b:SourceType>
    <b:Guid>{71D0A8C3-1F2A-4BFB-8284-1F288BEE88B4}</b:Guid>
    <b:Year>2011</b:Year>
    <b:Month>September</b:Month>
    <b:Author>
      <b:Author>
        <b:NameList>
          <b:Person>
            <b:Last>Correa</b:Last>
            <b:First>Elena</b:First>
          </b:Person>
          <b:Person>
            <b:Last>Ramírez</b:Last>
            <b:First>Fernando</b:First>
          </b:Person>
          <b:Person>
            <b:Last>Sanahuja</b:Last>
            <b:First>Haris</b:First>
          </b:Person>
        </b:NameList>
      </b:Author>
    </b:Author>
    <b:PublicationTitle>Populations at Risk of Disaster: A Resettlement Guide</b:PublicationTitle>
    <b:City>Whashington</b:City>
    <b:CountryRegion>E.U.A.</b:CountryRegion>
    <b:Publisher>The World Bank</b:Publisher>
    <b:Pages>142</b:Pages>
    <b:Volume>XII</b:Volume>
    <b:LCID>en-US</b:LCID>
    <b:RefOrder>34</b:RefOrder>
  </b:Source>
  <b:Source>
    <b:Tag>MarcadorDePosición2</b:Tag>
    <b:SourceType>Misc</b:SourceType>
    <b:Guid>{1747EAC0-4364-4EE6-A381-F1B5FD6B0121}</b:Guid>
    <b:Author>
      <b:Author>
        <b:NameList>
          <b:Person>
            <b:Last>Narváez</b:Last>
            <b:First>César</b:First>
          </b:Person>
        </b:NameList>
      </b:Author>
    </b:Author>
    <b:Year>2007</b:Year>
    <b:Month>Agosto</b:Month>
    <b:City>Quito</b:City>
    <b:CountryRegion>Ecuador</b:CountryRegion>
    <b:Publisher>Escuela Politécnica Nacional, Escuela de Postgrado en Ingeniería y Ciencias</b:Publisher>
    <b:PublicationTitle>Desarrollo de la metodología para el análisis de vulnerabilidad ante una eventual erupción del volcán Cotopaxi</b:PublicationTitle>
    <b:RefOrder>35</b:RefOrder>
  </b:Source>
  <b:Source>
    <b:Tag>MarcadorDePosición3</b:Tag>
    <b:SourceType>Misc</b:SourceType>
    <b:Guid>{A075A9D3-0954-46FA-829F-D1A47909BDC0}</b:Guid>
    <b:Author>
      <b:Author>
        <b:NameList>
          <b:Person>
            <b:Last>Padilla</b:Last>
            <b:First>Oswaldo</b:First>
          </b:Person>
        </b:NameList>
      </b:Author>
    </b:Author>
    <b:Year>2017</b:Year>
    <b:Month>Mayo</b:Month>
    <b:City>Alcalá de Henares</b:City>
    <b:StateProvince>Madrid</b:StateProvince>
    <b:CountryRegion>España</b:CountryRegion>
    <b:Publisher>Universidad de Alcalá; Departamento de Geología, Geografía y Medio Ambiente</b:Publisher>
    <b:PublicationTitle>Cálculo de los tiempos de evacuación horizontal y vertical en caso de una eventual erupción del volcán Cotopaxi</b:PublicationTitle>
    <b:RefOrder>36</b:RefOrder>
  </b:Source>
  <b:Source>
    <b:Tag>MarcadorDePosición4</b:Tag>
    <b:SourceType>Misc</b:SourceType>
    <b:Guid>{82A2C018-EEE3-4B06-95DC-0C6F9BCC5907}</b:Guid>
    <b:Author>
      <b:Author>
        <b:NameList>
          <b:Person>
            <b:Last>Peña</b:Last>
            <b:First>Margarita</b:First>
          </b:Person>
        </b:NameList>
      </b:Author>
    </b:Author>
    <b:Year>2016</b:Year>
    <b:Month>Junio</b:Month>
    <b:City>Madrid</b:City>
    <b:CountryRegion>España</b:CountryRegion>
    <b:Publisher>Universidad Politécnica de Madrid, Escuela Técnica Superior de Ingeniería Civil</b:Publisher>
    <b:PublicationTitle>Análisis de Vulnerabilidad y Mitigación de Riesgos Estructurales en las Infraestructuras de Abastecimiento de Agua, en el Distrito Metropolitano de Quito (DMQ), en caso de erupción del Volcán Cotopaxi (Ecuador).</b:PublicationTitle>
    <b:RefOrder>37</b:RefOrder>
  </b:Source>
  <b:Source>
    <b:Tag>MarcadorDePosición5</b:Tag>
    <b:SourceType>Misc</b:SourceType>
    <b:Guid>{3A09E2D4-481E-4B38-A871-A09F1C9D2014}</b:Guid>
    <b:Year>2013</b:Year>
    <b:Month>October</b:Month>
    <b:City>Melbourne</b:City>
    <b:StateProvince>Victoria</b:StateProvince>
    <b:CountryRegion>Australia</b:CountryRegion>
    <b:Publisher>The University of Melbourne</b:Publisher>
    <b:Author>
      <b:Author>
        <b:NameList>
          <b:Person>
            <b:Last>Potts</b:Last>
            <b:First>Katie</b:First>
            <b:Middle>E.</b:Middle>
          </b:Person>
        </b:NameList>
      </b:Author>
    </b:Author>
    <b:LCID>en-US</b:LCID>
    <b:PublicationTitle>Using land administration for land risk management</b:PublicationTitle>
    <b:RefOrder>38</b:RefOrder>
  </b:Source>
  <b:Source>
    <b:Tag>MarcadorDePosición6</b:Tag>
    <b:SourceType>Misc</b:SourceType>
    <b:Guid>{A413489F-883F-4F49-B819-C1CB2C9BE2DC}</b:Guid>
    <b:Author>
      <b:Author>
        <b:NameList>
          <b:Person>
            <b:Last>Saunders</b:Last>
            <b:First>W.</b:First>
          </b:Person>
          <b:Person>
            <b:Last>Beban</b:Last>
            <b:First>J.</b:First>
          </b:Person>
          <b:Person>
            <b:Last>Kilvington</b:Last>
            <b:First>M.</b:First>
          </b:Person>
        </b:NameList>
      </b:Author>
    </b:Author>
    <b:PublicationTitle>Risk-based land use planning for natural hazard risk reduction</b:PublicationTitle>
    <b:Year>2013</b:Year>
    <b:City>Lower Hutt</b:City>
    <b:CountryRegion>Nueva Zelanda</b:CountryRegion>
    <b:Publisher>Institute of Geological and Nuclear Sciences Limited</b:Publisher>
    <b:Pages>97</b:Pages>
    <b:Issue>67</b:Issue>
    <b:LCID>es-EC</b:LCID>
    <b:RefOrder>39</b:RefOrder>
  </b:Source>
  <b:Source>
    <b:Tag>MarcadorDePosición7</b:Tag>
    <b:SourceType>Misc</b:SourceType>
    <b:Guid>{5A55F967-5684-4F1F-AC34-839B7764F953}</b:Guid>
    <b:Year>2013</b:Year>
    <b:Month>Febrero</b:Month>
    <b:City>Sangolquí</b:City>
    <b:CountryRegion>Ecuador</b:CountryRegion>
    <b:Publisher>Universidad de las Fuerzas Armadas - ESPE, Carrera de Ingeniería Geográfica y del Medio Ambiente</b:Publisher>
    <b:Author>
      <b:Author>
        <b:NameList>
          <b:Person>
            <b:Last>Tibanlombo</b:Last>
            <b:First>Johanna</b:First>
          </b:Person>
          <b:Person>
            <b:Last>Villacís</b:Last>
            <b:First>Alexandra</b:First>
          </b:Person>
        </b:NameList>
      </b:Author>
    </b:Author>
    <b:PublicationTitle>Aplicación y sistematización de la propuesta metodológica para el análisis de vulnerabilidad de la parroquia Sangolquí, del cantón Rumiñahui</b:PublicationTitle>
    <b:RefOrder>40</b:RefOrder>
  </b:Source>
  <b:Source>
    <b:Tag>Baa08</b:Tag>
    <b:SourceType>Misc</b:SourceType>
    <b:Guid>{D45038A0-95D5-40B5-9B43-8E5FFBB3BC90}</b:Guid>
    <b:Author>
      <b:Author>
        <b:NameList>
          <b:Person>
            <b:Last>Baas</b:Last>
            <b:First>Stephan</b:First>
          </b:Person>
          <b:Person>
            <b:Last>Ramasamy</b:Last>
            <b:First>Selvaraju</b:First>
          </b:Person>
          <b:Person>
            <b:Last>Dey de Pryck</b:Last>
            <b:First>Jennie</b:First>
          </b:Person>
          <b:Person>
            <b:Last>Battista</b:Last>
            <b:First>Federica</b:First>
          </b:Person>
        </b:NameList>
      </b:Author>
    </b:Author>
    <b:Year>2008</b:Year>
    <b:City>Roma</b:City>
    <b:CountryRegion>Italia</b:CountryRegion>
    <b:Publisher>FAO Environment and Natural Resources Service Series</b:Publisher>
    <b:Pages>90</b:Pages>
    <b:Edition>13</b:Edition>
    <b:LCID>es-ES</b:LCID>
    <b:Title>Disaster risk management systems analysis</b:Title>
    <b:RefOrder>1</b:RefOrder>
  </b:Source>
  <b:Source>
    <b:Tag>IPC14</b:Tag>
    <b:SourceType>Misc</b:SourceType>
    <b:Guid>{208C00C1-A293-4344-9C8D-1CF58241B5C5}</b:Guid>
    <b:Year>2014</b:Year>
    <b:City>Ginebra</b:City>
    <b:Publisher>IPCC</b:Publisher>
    <b:Author>
      <b:Author>
        <b:Corporate>IPCC</b:Corporate>
      </b:Author>
      <b:Editor>
        <b:NameList>
          <b:Person>
            <b:Last>Pachauri</b:Last>
            <b:First>Rajendra</b:First>
            <b:Middle>K.</b:Middle>
          </b:Person>
          <b:Person>
            <b:Last>Meyer</b:Last>
            <b:First>Leo</b:First>
          </b:Person>
        </b:NameList>
      </b:Editor>
    </b:Author>
    <b:Pages>157</b:Pages>
    <b:CountryRegion>Suiza</b:CountryRegion>
    <b:LCID>es-EC</b:LCID>
    <b:Title>Informe de Evaluación del Grupo Intergubernamental de Expertos sobre el Cambio Climático</b:Title>
    <b:RefOrder>41</b:RefOrder>
  </b:Source>
  <b:Source>
    <b:Tag>Mit11</b:Tag>
    <b:SourceType>Misc</b:SourceType>
    <b:Guid>{DBA72D21-3192-4A02-B47D-4BD3BEDF52C3}</b:Guid>
    <b:Author>
      <b:Author>
        <b:NameList>
          <b:Person>
            <b:Last>Mitchell</b:Last>
            <b:First>David</b:First>
          </b:Person>
        </b:NameList>
      </b:Author>
    </b:Author>
    <b:Year>2011</b:Year>
    <b:City>Roma</b:City>
    <b:CountryRegion>Italia</b:CountryRegion>
    <b:Publisher>FAO</b:Publisher>
    <b:Pages>114</b:Pages>
    <b:Volume>3</b:Volume>
    <b:LCID>es-EC</b:LCID>
    <b:Title>Assessing and Responding to Land Tenure Issues in Disaster Risk Management: Training Manual</b:Title>
    <b:RefOrder>42</b:RefOrder>
  </b:Source>
  <b:Source xmlns:b="http://schemas.openxmlformats.org/officeDocument/2006/bibliography">
    <b:Tag>OEA91</b:Tag>
    <b:SourceType>Misc</b:SourceType>
    <b:Guid>{EA8466B5-DF60-4469-AA88-AFFF60D90884}</b:Guid>
    <b:Year>1991</b:Year>
    <b:Author>
      <b:Author>
        <b:Corporate>OEA</b:Corporate>
      </b:Author>
    </b:Author>
    <b:City>Washington</b:City>
    <b:CountryRegion>E.U.A.</b:CountryRegion>
    <b:Publisher>Organización de los Estados Americanos</b:Publisher>
    <b:LCID>es-EC</b:LCID>
    <b:PublicationTitle>Desastres, Planificación y Desarrollo: Manejo de Amenazas Naturales para Reducir los Daños</b:PublicationTitle>
    <b:RefOrder>43</b:RefOrder>
  </b:Source>
  <b:Source>
    <b:Tag>Roj13</b:Tag>
    <b:SourceType>Misc</b:SourceType>
    <b:Guid>{138C3F85-F66A-4C13-80FE-26835810C21B}</b:Guid>
    <b:Author>
      <b:Author>
        <b:NameList>
          <b:Person>
            <b:Last>Rojas</b:Last>
            <b:First>Rodrigo</b:First>
          </b:Person>
        </b:NameList>
      </b:Author>
    </b:Author>
    <b:Year>2013</b:Year>
    <b:Month>Junio</b:Month>
    <b:CountryRegion>Perú</b:CountryRegion>
    <b:Publisher>GIZ GmbH–Deutsche Gesellschaft für Internationale Zusammenarbeit</b:Publisher>
    <b:Pages>184</b:Pages>
    <b:Volume>VIII</b:Volume>
    <b:LCID>es-EC</b:LCID>
    <b:Title>Metodología para incorporar Cambio Climático y Gestión del Riesgo de Desastres en procesos de OT</b:Title>
    <b:RefOrder>44</b:RefOrder>
  </b:Source>
  <b:Source>
    <b:Tag>UNI16</b:Tag>
    <b:SourceType>Misc</b:SourceType>
    <b:Guid>{CEB6CD82-4923-4C5E-B555-9105652C6904}</b:Guid>
    <b:Year>2016</b:Year>
    <b:Author>
      <b:Author>
        <b:Corporate>UNISDR AM</b:Corporate>
      </b:Author>
    </b:Author>
    <b:City>Panamá</b:City>
    <b:CountryRegion>Panamá</b:CountryRegion>
    <b:Publisher>United Nations Office for Disaster Risk Reduction – Regional Office for the Americas (UNISDR AM)</b:Publisher>
    <b:Pages>72</b:Pages>
    <b:LCID>es-EC</b:LCID>
    <b:Title>Impacto de los desastres en América Latina y El Caribe, 1990 – 2013</b:Title>
    <b:RefOrder>45</b:RefOrder>
  </b:Source>
  <b:Source>
    <b:Tag>Var09</b:Tag>
    <b:SourceType>Misc</b:SourceType>
    <b:Guid>{3283C8A6-39A9-4FA6-A75A-D22E3152253F}</b:Guid>
    <b:Author>
      <b:Author>
        <b:NameList>
          <b:Person>
            <b:Last>Vargas</b:Last>
            <b:First>Diana</b:First>
          </b:Person>
          <b:Person>
            <b:Last>Ramírez</b:Last>
            <b:First>Fernando</b:First>
          </b:Person>
        </b:NameList>
      </b:Author>
    </b:Author>
    <b:Year>2009</b:Year>
    <b:City>Lima</b:City>
    <b:CountryRegion>Perú</b:CountryRegion>
    <b:Publisher>Proyecto Apoyo a la Prevención de Desastres en la Comunidad Andina - PREDECAN</b:Publisher>
    <b:Pages>104</b:Pages>
    <b:LCID>es-EC</b:LCID>
    <b:Title>Incorporando la Gestión del Riesgo de Desastres en la Planificación y Gestión Territorial</b:Title>
    <b:RefOrder>46</b:RefOrder>
  </b:Source>
</b:Sources>
</file>

<file path=customXml/itemProps1.xml><?xml version="1.0" encoding="utf-8"?>
<ds:datastoreItem xmlns:ds="http://schemas.openxmlformats.org/officeDocument/2006/customXml" ds:itemID="{1E90D09C-A8CC-451C-A2B8-8076AC4B05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newtemplate</Template>
  <TotalTime>2</TotalTime>
  <Pages>20</Pages>
  <Words>7653</Words>
  <Characters>42034</Characters>
  <Application>Microsoft Office Word</Application>
  <DocSecurity>0</DocSecurity>
  <Lines>350</Lines>
  <Paragraphs>99</Paragraphs>
  <ScaleCrop>false</ScaleCrop>
  <HeadingPairs>
    <vt:vector size="8" baseType="variant">
      <vt:variant>
        <vt:lpstr>Título</vt:lpstr>
      </vt:variant>
      <vt:variant>
        <vt:i4>1</vt:i4>
      </vt:variant>
      <vt:variant>
        <vt:lpstr>Title</vt:lpstr>
      </vt:variant>
      <vt:variant>
        <vt:i4>1</vt:i4>
      </vt:variant>
      <vt:variant>
        <vt:lpstr>Название</vt:lpstr>
      </vt:variant>
      <vt:variant>
        <vt:i4>1</vt:i4>
      </vt:variant>
      <vt:variant>
        <vt:lpstr>Nбzov</vt:lpstr>
      </vt:variant>
      <vt:variant>
        <vt:i4>1</vt:i4>
      </vt:variant>
    </vt:vector>
  </HeadingPairs>
  <TitlesOfParts>
    <vt:vector size="4" baseType="lpstr">
      <vt:lpstr>Article</vt:lpstr>
      <vt:lpstr>Article</vt:lpstr>
      <vt:lpstr>Article</vt:lpstr>
      <vt:lpstr>Article</vt:lpstr>
    </vt:vector>
  </TitlesOfParts>
  <Company>Hewlett-Packard Company</Company>
  <LinksUpToDate>false</LinksUpToDate>
  <CharactersWithSpaces>49588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dc:title>
  <dc:creator>yaog</dc:creator>
  <cp:lastModifiedBy>Alfonso Tierra</cp:lastModifiedBy>
  <cp:revision>4</cp:revision>
  <cp:lastPrinted>2012-12-07T13:29:00Z</cp:lastPrinted>
  <dcterms:created xsi:type="dcterms:W3CDTF">2019-12-08T04:43:00Z</dcterms:created>
  <dcterms:modified xsi:type="dcterms:W3CDTF">2019-12-10T23:34:00Z</dcterms:modified>
</cp:coreProperties>
</file>