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C111A" w14:textId="2A621B58" w:rsidR="00E257E0" w:rsidRPr="00CE7866" w:rsidRDefault="00C10720" w:rsidP="00BF2FE9">
      <w:pPr>
        <w:spacing w:line="240" w:lineRule="auto"/>
        <w:rPr>
          <w:rFonts w:cs="Times New Roman"/>
          <w:b/>
          <w:bCs/>
          <w:sz w:val="34"/>
          <w:szCs w:val="34"/>
        </w:rPr>
      </w:pPr>
      <w:r w:rsidRPr="00CE7866">
        <w:rPr>
          <w:b/>
          <w:bCs/>
          <w:sz w:val="34"/>
          <w:szCs w:val="34"/>
        </w:rPr>
        <w:t>EL ALMACENAMIENTO Y LA DISPONIBILIDAD DE AGUA EN LA DETERMINACIÓN DEL USO POTENCIAL DE LAS TIERRAS</w:t>
      </w:r>
    </w:p>
    <w:p w14:paraId="1A4551A6" w14:textId="275B4F62" w:rsidR="000247A1" w:rsidRPr="00BF2FE9" w:rsidRDefault="00C10720" w:rsidP="00BF2FE9">
      <w:pPr>
        <w:spacing w:line="240" w:lineRule="auto"/>
        <w:rPr>
          <w:rFonts w:cs="Times New Roman"/>
          <w:i/>
          <w:iCs/>
          <w:sz w:val="28"/>
          <w:szCs w:val="28"/>
          <w:lang w:val="en-CA"/>
        </w:rPr>
      </w:pPr>
      <w:r w:rsidRPr="00BF2FE9">
        <w:rPr>
          <w:rFonts w:cs="Times New Roman"/>
          <w:i/>
          <w:iCs/>
          <w:sz w:val="28"/>
          <w:szCs w:val="28"/>
          <w:lang w:val="en-CA"/>
        </w:rPr>
        <w:t>WATER STORAGE AND AVAILABILITY IN DETERMINING THE POTENTIAL USE OF LAND</w:t>
      </w:r>
    </w:p>
    <w:p w14:paraId="02A2C229" w14:textId="21728325" w:rsidR="00AD2C99" w:rsidRPr="00252475" w:rsidRDefault="00BF2FE9" w:rsidP="00BF2FE9">
      <w:pPr>
        <w:spacing w:before="0" w:after="0" w:line="240" w:lineRule="auto"/>
        <w:rPr>
          <w:rFonts w:cs="Times New Roman"/>
          <w:b/>
          <w:bCs/>
          <w:sz w:val="24"/>
          <w:szCs w:val="24"/>
        </w:rPr>
      </w:pPr>
      <w:r w:rsidRPr="00F12F75">
        <w:rPr>
          <w:rFonts w:cs="Times New Roman"/>
          <w:b/>
          <w:bCs/>
          <w:sz w:val="24"/>
          <w:szCs w:val="24"/>
        </w:rPr>
        <w:t>Carlos Enrique Castro Méndez</w:t>
      </w:r>
      <w:r w:rsidR="00F348B0">
        <w:rPr>
          <w:rFonts w:cs="Times New Roman"/>
          <w:b/>
          <w:bCs/>
          <w:sz w:val="24"/>
          <w:szCs w:val="24"/>
          <w:vertAlign w:val="superscript"/>
        </w:rPr>
        <w:t>1*</w:t>
      </w:r>
      <w:r w:rsidR="00003DAE" w:rsidRPr="00F12F75">
        <w:rPr>
          <w:rFonts w:cs="Times New Roman"/>
          <w:b/>
          <w:bCs/>
          <w:sz w:val="24"/>
          <w:szCs w:val="24"/>
        </w:rPr>
        <w:t>,</w:t>
      </w:r>
      <w:r>
        <w:rPr>
          <w:rFonts w:cs="Times New Roman"/>
          <w:b/>
          <w:bCs/>
          <w:sz w:val="24"/>
          <w:szCs w:val="24"/>
        </w:rPr>
        <w:t xml:space="preserve"> </w:t>
      </w:r>
      <w:r w:rsidRPr="00F12F75">
        <w:rPr>
          <w:rFonts w:cs="Times New Roman"/>
          <w:b/>
          <w:bCs/>
          <w:sz w:val="24"/>
          <w:szCs w:val="24"/>
        </w:rPr>
        <w:t>Diana Marcela Guzmán Lugo</w:t>
      </w:r>
      <w:r w:rsidR="00252475">
        <w:rPr>
          <w:rFonts w:cs="Times New Roman"/>
          <w:b/>
          <w:bCs/>
          <w:sz w:val="24"/>
          <w:szCs w:val="24"/>
          <w:vertAlign w:val="superscript"/>
        </w:rPr>
        <w:t>2</w:t>
      </w:r>
      <w:r w:rsidR="00CC145F">
        <w:rPr>
          <w:rFonts w:cs="Times New Roman"/>
          <w:b/>
          <w:bCs/>
          <w:sz w:val="24"/>
          <w:szCs w:val="24"/>
        </w:rPr>
        <w:t>, Diego</w:t>
      </w:r>
      <w:r>
        <w:rPr>
          <w:rFonts w:cs="Times New Roman"/>
          <w:b/>
          <w:bCs/>
          <w:sz w:val="24"/>
          <w:szCs w:val="24"/>
        </w:rPr>
        <w:t xml:space="preserve"> Leonardo Cortés Delgadillo</w:t>
      </w:r>
      <w:r w:rsidR="00252475">
        <w:rPr>
          <w:rFonts w:cs="Times New Roman"/>
          <w:b/>
          <w:bCs/>
          <w:sz w:val="24"/>
          <w:szCs w:val="24"/>
          <w:vertAlign w:val="superscript"/>
        </w:rPr>
        <w:t>3</w:t>
      </w:r>
    </w:p>
    <w:p w14:paraId="5FCA9BBD" w14:textId="77777777" w:rsidR="00BF2FE9" w:rsidRDefault="00BF2FE9" w:rsidP="00BF2FE9">
      <w:pPr>
        <w:spacing w:before="0" w:after="0" w:line="240" w:lineRule="auto"/>
        <w:rPr>
          <w:rFonts w:cs="Times New Roman"/>
          <w:b/>
          <w:bCs/>
          <w:sz w:val="24"/>
          <w:szCs w:val="24"/>
        </w:rPr>
      </w:pPr>
    </w:p>
    <w:p w14:paraId="08BD4588" w14:textId="6A1CA27F" w:rsidR="00BF2FE9" w:rsidRPr="00BF2FE9" w:rsidRDefault="00BF2FE9" w:rsidP="00BF2FE9">
      <w:pPr>
        <w:pStyle w:val="Textonotapie"/>
        <w:rPr>
          <w:i/>
          <w:lang w:val="es-ES"/>
        </w:rPr>
      </w:pPr>
      <w:r w:rsidRPr="00BF2FE9">
        <w:rPr>
          <w:rStyle w:val="Refdenotaalpie"/>
          <w:i/>
        </w:rPr>
        <w:footnoteRef/>
      </w:r>
      <w:r w:rsidRPr="00BF2FE9">
        <w:rPr>
          <w:i/>
        </w:rPr>
        <w:t xml:space="preserve"> Universidad Pedagógica y Tecnológica de Colombia – Instituto Geográfico Agustín Codazzi. Subdirección </w:t>
      </w:r>
      <w:r w:rsidR="00CC145F" w:rsidRPr="00BF2FE9">
        <w:rPr>
          <w:i/>
        </w:rPr>
        <w:t>de Agrología</w:t>
      </w:r>
      <w:r w:rsidRPr="00BF2FE9">
        <w:rPr>
          <w:i/>
        </w:rPr>
        <w:t xml:space="preserve">. GIT Levantamiento de suelos y Aplicaciones Agrológicas. Carrera 30 47 51. Bogotá-Colombia. </w:t>
      </w:r>
      <w:proofErr w:type="gramStart"/>
      <w:r w:rsidRPr="00BF2FE9">
        <w:rPr>
          <w:i/>
        </w:rPr>
        <w:t>cecastro@igac.gov.co</w:t>
      </w:r>
      <w:proofErr w:type="gramEnd"/>
      <w:r w:rsidRPr="00BF2FE9">
        <w:rPr>
          <w:i/>
        </w:rPr>
        <w:t>. cecastro77@gmail.com</w:t>
      </w:r>
    </w:p>
    <w:p w14:paraId="6021352A" w14:textId="753DBA08" w:rsidR="00BF2FE9" w:rsidRPr="00BF2FE9" w:rsidRDefault="00BF2FE9" w:rsidP="00BF2FE9">
      <w:pPr>
        <w:pStyle w:val="Textonotapie"/>
        <w:rPr>
          <w:i/>
          <w:lang w:val="es-ES"/>
        </w:rPr>
      </w:pPr>
      <w:r w:rsidRPr="00BF2FE9">
        <w:rPr>
          <w:rStyle w:val="Refdenotaalpie"/>
          <w:i/>
        </w:rPr>
        <w:t>2</w:t>
      </w:r>
      <w:r w:rsidRPr="00BF2FE9">
        <w:rPr>
          <w:i/>
        </w:rPr>
        <w:t xml:space="preserve"> Universidad Central, Instituto Geográfico Agustín Codazzi. Subdirección de Agrología. GIT Levantamiento de suelos y Aplicaciones Agrológicas. Carrera 30 47 51. Bogotá-Colombia. diana.guzman@igac.gov.co.</w:t>
      </w:r>
    </w:p>
    <w:p w14:paraId="75018663" w14:textId="554FA6EA" w:rsidR="00BF2FE9" w:rsidRDefault="00BF2FE9" w:rsidP="00BF2FE9">
      <w:pPr>
        <w:pStyle w:val="Textonotapie"/>
        <w:rPr>
          <w:i/>
        </w:rPr>
      </w:pPr>
      <w:r w:rsidRPr="00BF2FE9">
        <w:rPr>
          <w:rStyle w:val="Refdenotaalpie"/>
          <w:i/>
        </w:rPr>
        <w:t>3</w:t>
      </w:r>
      <w:r w:rsidRPr="00BF2FE9">
        <w:rPr>
          <w:i/>
        </w:rPr>
        <w:t xml:space="preserve"> Universidad Nacional de Colombia – Instituto Geográfico Agustín Codazzi. Subdirección de Agrología. GIT Levantamiento de suelos y Aplicaciones Agrológicas. Ca</w:t>
      </w:r>
      <w:r>
        <w:rPr>
          <w:i/>
        </w:rPr>
        <w:t>rrera 30 47 51. Bogotá-Colombia,</w:t>
      </w:r>
      <w:r w:rsidRPr="00BF2FE9">
        <w:rPr>
          <w:i/>
        </w:rPr>
        <w:t xml:space="preserve"> </w:t>
      </w:r>
      <w:hyperlink r:id="rId8" w:history="1">
        <w:r w:rsidRPr="00BF2FE9">
          <w:rPr>
            <w:rStyle w:val="Hipervnculo"/>
            <w:i/>
            <w:color w:val="auto"/>
            <w:u w:val="none"/>
          </w:rPr>
          <w:t>diegolcortes@igac.gov.co</w:t>
        </w:r>
      </w:hyperlink>
      <w:r w:rsidRPr="00BF2FE9">
        <w:rPr>
          <w:i/>
        </w:rPr>
        <w:t>.</w:t>
      </w:r>
    </w:p>
    <w:p w14:paraId="2EA4C164" w14:textId="3F9B0009" w:rsidR="00716793" w:rsidRPr="00650DD0" w:rsidRDefault="00716793" w:rsidP="00716793">
      <w:pPr>
        <w:rPr>
          <w:rStyle w:val="Hipervnculo"/>
          <w:rFonts w:cs="Times New Roman"/>
          <w:i/>
          <w:iCs/>
          <w:color w:val="auto"/>
          <w:sz w:val="20"/>
          <w:szCs w:val="20"/>
          <w:lang w:val="es-MX"/>
        </w:rPr>
      </w:pPr>
      <w:r w:rsidRPr="00F87F7D">
        <w:rPr>
          <w:rFonts w:cs="Times New Roman"/>
          <w:i/>
          <w:sz w:val="20"/>
          <w:szCs w:val="20"/>
        </w:rPr>
        <w:t>* Autor de correspondencia</w:t>
      </w:r>
      <w:r w:rsidR="00003DAE" w:rsidRPr="00F87F7D">
        <w:rPr>
          <w:rFonts w:cs="Times New Roman"/>
          <w:i/>
          <w:sz w:val="20"/>
          <w:szCs w:val="20"/>
        </w:rPr>
        <w:t>:</w:t>
      </w:r>
      <w:r w:rsidR="00003DAE">
        <w:rPr>
          <w:rFonts w:cs="Times New Roman"/>
          <w:i/>
          <w:sz w:val="20"/>
          <w:szCs w:val="20"/>
        </w:rPr>
        <w:t xml:space="preserve"> </w:t>
      </w:r>
      <w:r w:rsidR="00003DAE" w:rsidRPr="00650DD0">
        <w:rPr>
          <w:i/>
          <w:sz w:val="20"/>
          <w:szCs w:val="20"/>
        </w:rPr>
        <w:t>Instituto</w:t>
      </w:r>
      <w:r w:rsidR="00650DD0" w:rsidRPr="00650DD0">
        <w:rPr>
          <w:i/>
          <w:sz w:val="20"/>
          <w:szCs w:val="20"/>
        </w:rPr>
        <w:t xml:space="preserve"> Geográfico Agustín Codazzi</w:t>
      </w:r>
      <w:r w:rsidR="00003DAE">
        <w:rPr>
          <w:i/>
          <w:sz w:val="20"/>
          <w:szCs w:val="20"/>
        </w:rPr>
        <w:t>, cecastro@igac.gov.co</w:t>
      </w:r>
    </w:p>
    <w:p w14:paraId="5237BF0F" w14:textId="4233BE15" w:rsidR="00716793" w:rsidRDefault="00252475" w:rsidP="00252475">
      <w:pPr>
        <w:pStyle w:val="Affiliation"/>
        <w:jc w:val="both"/>
        <w:rPr>
          <w:lang w:val="es-EC"/>
        </w:rPr>
      </w:pPr>
      <w:r>
        <w:rPr>
          <w:lang w:val="es-EC"/>
        </w:rPr>
        <w:t xml:space="preserve">  </w:t>
      </w:r>
      <w:r w:rsidR="00716793" w:rsidRPr="009618A8">
        <w:rPr>
          <w:lang w:val="es-EC"/>
        </w:rPr>
        <w:t xml:space="preserve">Recibido: </w:t>
      </w:r>
      <w:r w:rsidR="00716793">
        <w:rPr>
          <w:lang w:val="es-EC"/>
        </w:rPr>
        <w:t>03 de abril</w:t>
      </w:r>
      <w:r w:rsidR="00716793" w:rsidRPr="009618A8">
        <w:rPr>
          <w:lang w:val="es-EC"/>
        </w:rPr>
        <w:t xml:space="preserve"> 2021</w:t>
      </w:r>
      <w:r w:rsidR="00716793" w:rsidRPr="009618A8">
        <w:rPr>
          <w:lang w:val="es-EC"/>
        </w:rPr>
        <w:tab/>
        <w:t xml:space="preserve">                </w:t>
      </w:r>
      <w:r w:rsidR="00716793">
        <w:rPr>
          <w:lang w:val="es-EC"/>
        </w:rPr>
        <w:t xml:space="preserve">    </w:t>
      </w:r>
      <w:r w:rsidR="00003DAE">
        <w:rPr>
          <w:lang w:val="es-EC"/>
        </w:rPr>
        <w:t xml:space="preserve">       </w:t>
      </w:r>
      <w:r w:rsidR="00716793">
        <w:rPr>
          <w:lang w:val="es-EC"/>
        </w:rPr>
        <w:t xml:space="preserve"> </w:t>
      </w:r>
      <w:r w:rsidR="00716793" w:rsidRPr="009618A8">
        <w:rPr>
          <w:lang w:val="es-EC"/>
        </w:rPr>
        <w:t xml:space="preserve">     /                                                 Aceptado</w:t>
      </w:r>
      <w:r w:rsidR="00003DAE" w:rsidRPr="009618A8">
        <w:rPr>
          <w:lang w:val="es-EC"/>
        </w:rPr>
        <w:t>: 07</w:t>
      </w:r>
      <w:r w:rsidR="00716793">
        <w:rPr>
          <w:lang w:val="es-EC"/>
        </w:rPr>
        <w:t xml:space="preserve"> </w:t>
      </w:r>
      <w:r w:rsidR="00716793" w:rsidRPr="009618A8">
        <w:rPr>
          <w:lang w:val="es-EC"/>
        </w:rPr>
        <w:t>de junio 2021</w:t>
      </w:r>
    </w:p>
    <w:p w14:paraId="6303CC2C" w14:textId="560FF402" w:rsidR="00716793" w:rsidRPr="009618A8" w:rsidRDefault="00003DAE" w:rsidP="00252475">
      <w:pPr>
        <w:pStyle w:val="Affiliation"/>
        <w:jc w:val="both"/>
        <w:rPr>
          <w:lang w:val="es-EC"/>
        </w:rPr>
      </w:pPr>
      <w:r>
        <w:rPr>
          <w:lang w:val="es-EC"/>
        </w:rPr>
        <w:t xml:space="preserve">   </w:t>
      </w:r>
      <w:r w:rsidR="00716793" w:rsidRPr="009618A8">
        <w:rPr>
          <w:lang w:val="es-EC"/>
        </w:rPr>
        <w:t>________________________________________________________________________________</w:t>
      </w:r>
      <w:r w:rsidR="00716793">
        <w:rPr>
          <w:lang w:val="es-EC"/>
        </w:rPr>
        <w:t>___</w:t>
      </w:r>
      <w:r w:rsidR="00252475">
        <w:rPr>
          <w:lang w:val="es-EC"/>
        </w:rPr>
        <w:t>______</w:t>
      </w:r>
    </w:p>
    <w:p w14:paraId="4AD1658A" w14:textId="77777777" w:rsidR="00252475" w:rsidRDefault="00252475" w:rsidP="00252475">
      <w:pPr>
        <w:spacing w:before="0" w:after="0" w:line="240" w:lineRule="auto"/>
        <w:jc w:val="center"/>
        <w:rPr>
          <w:rFonts w:cs="Times New Roman"/>
          <w:b/>
        </w:rPr>
      </w:pPr>
    </w:p>
    <w:p w14:paraId="3AE2CD40" w14:textId="34FC01C7" w:rsidR="00623A8A" w:rsidRDefault="00C10720" w:rsidP="00252475">
      <w:pPr>
        <w:spacing w:before="0" w:after="0" w:line="240" w:lineRule="auto"/>
        <w:jc w:val="center"/>
        <w:rPr>
          <w:rFonts w:cs="Times New Roman"/>
          <w:b/>
        </w:rPr>
      </w:pPr>
      <w:r w:rsidRPr="00D14FD2">
        <w:rPr>
          <w:rFonts w:cs="Times New Roman"/>
          <w:b/>
        </w:rPr>
        <w:t>RESUMEN</w:t>
      </w:r>
    </w:p>
    <w:p w14:paraId="03EAC80F" w14:textId="77777777" w:rsidR="00252475" w:rsidRPr="007C7D21" w:rsidRDefault="00252475" w:rsidP="00252475">
      <w:pPr>
        <w:spacing w:before="0" w:after="0" w:line="240" w:lineRule="auto"/>
        <w:jc w:val="center"/>
        <w:rPr>
          <w:rFonts w:cs="Times New Roman"/>
          <w:b/>
        </w:rPr>
      </w:pPr>
    </w:p>
    <w:p w14:paraId="1A0752B7" w14:textId="54EA7B5C" w:rsidR="000247A1" w:rsidRPr="007C7D21" w:rsidRDefault="00926F22" w:rsidP="00252475">
      <w:pPr>
        <w:spacing w:before="0" w:after="0" w:line="240" w:lineRule="auto"/>
        <w:rPr>
          <w:rFonts w:cs="Times New Roman"/>
        </w:rPr>
      </w:pPr>
      <w:r w:rsidRPr="007C7D21">
        <w:rPr>
          <w:rFonts w:cs="Times New Roman"/>
        </w:rPr>
        <w:t xml:space="preserve">Uno de los servicios </w:t>
      </w:r>
      <w:proofErr w:type="spellStart"/>
      <w:r w:rsidRPr="007C7D21">
        <w:rPr>
          <w:rFonts w:cs="Times New Roman"/>
        </w:rPr>
        <w:t>ecosistémicos</w:t>
      </w:r>
      <w:proofErr w:type="spellEnd"/>
      <w:r w:rsidRPr="007C7D21">
        <w:rPr>
          <w:rFonts w:cs="Times New Roman"/>
        </w:rPr>
        <w:t xml:space="preserve"> del suelo está en la regulación de la oferta hídrica para los usos productivos. La capacidad de uso con enfoque ambiental debe incluir la capacidad de almacenamiento de agua en el suelo para evitar </w:t>
      </w:r>
      <w:r w:rsidR="00CE72D2" w:rsidRPr="007C7D21">
        <w:rPr>
          <w:rFonts w:cs="Times New Roman"/>
        </w:rPr>
        <w:t>el aprovechamiento</w:t>
      </w:r>
      <w:r w:rsidRPr="007C7D21">
        <w:rPr>
          <w:rFonts w:cs="Times New Roman"/>
        </w:rPr>
        <w:t xml:space="preserve"> excesiv</w:t>
      </w:r>
      <w:r w:rsidR="00CE72D2" w:rsidRPr="007C7D21">
        <w:rPr>
          <w:rFonts w:cs="Times New Roman"/>
        </w:rPr>
        <w:t>o</w:t>
      </w:r>
      <w:r w:rsidRPr="007C7D21">
        <w:rPr>
          <w:rFonts w:cs="Times New Roman"/>
        </w:rPr>
        <w:t xml:space="preserve"> del agua, el efecto negativo en los ecosistemas y la disminución de la producción agrícola en los sectores bajos de las cuencas hidrográficas. La capacidad de almacenamiento de agua en el suelo es, además, un factor relevante para definir el grado de utilización de la tierra para la agricultura, la ganadería y el consumo humano. Se proponen ajustes en la metodología de clasificación por capacidad de uso ahora que se realizan levantamiento</w:t>
      </w:r>
      <w:r w:rsidR="008549AD" w:rsidRPr="007C7D21">
        <w:rPr>
          <w:rFonts w:cs="Times New Roman"/>
        </w:rPr>
        <w:t>s</w:t>
      </w:r>
      <w:r w:rsidRPr="007C7D21">
        <w:rPr>
          <w:rFonts w:cs="Times New Roman"/>
        </w:rPr>
        <w:t xml:space="preserve"> de suelos a escala detallada y se requiere perfeccionar </w:t>
      </w:r>
      <w:r w:rsidR="002E3941" w:rsidRPr="007C7D21">
        <w:rPr>
          <w:rFonts w:cs="Times New Roman"/>
        </w:rPr>
        <w:t>el</w:t>
      </w:r>
      <w:r w:rsidRPr="007C7D21">
        <w:rPr>
          <w:rFonts w:cs="Times New Roman"/>
        </w:rPr>
        <w:t xml:space="preserve"> procedimiento y profundizar</w:t>
      </w:r>
      <w:r w:rsidR="002E3941" w:rsidRPr="007C7D21">
        <w:rPr>
          <w:rFonts w:cs="Times New Roman"/>
        </w:rPr>
        <w:t xml:space="preserve"> aún más</w:t>
      </w:r>
      <w:r w:rsidRPr="007C7D21">
        <w:rPr>
          <w:rFonts w:cs="Times New Roman"/>
        </w:rPr>
        <w:t xml:space="preserve"> en </w:t>
      </w:r>
      <w:r w:rsidR="002E3941" w:rsidRPr="007C7D21">
        <w:rPr>
          <w:rFonts w:cs="Times New Roman"/>
        </w:rPr>
        <w:t>el</w:t>
      </w:r>
      <w:r w:rsidRPr="007C7D21">
        <w:rPr>
          <w:rFonts w:cs="Times New Roman"/>
        </w:rPr>
        <w:t xml:space="preserve"> análisis. Para innovar en la interpretación de los datos del suelo se aplicó un enfoque cuantitativo y de variabilidad espacial para obtener información sobre índices de regulación y determinar las categorías de disponibilidad de agua total (superficial y en el suelo), en la microcuenca de la Quebrada Barbillas, municipio de La Plata, Huila. La información edáfica contribuyó a optimizar la estimación del agua en el suelo a profundidad efectiva y, mediante el cálculo de balance hídrico </w:t>
      </w:r>
      <w:proofErr w:type="spellStart"/>
      <w:r w:rsidRPr="007C7D21">
        <w:rPr>
          <w:rFonts w:cs="Times New Roman"/>
        </w:rPr>
        <w:t>decadiario</w:t>
      </w:r>
      <w:proofErr w:type="spellEnd"/>
      <w:r w:rsidRPr="007C7D21">
        <w:rPr>
          <w:rFonts w:cs="Times New Roman"/>
        </w:rPr>
        <w:t>, se precisó la clasificación por capacidad de uso. En diferentes escenarios de variabilidad climática se encontraron cambios significativos en la disponibilidad de agua en la microcuenca. Adicionalmente, se evaluaron los excedentes de humedad cercanos al límite líquido del suelo, los cuales podrían ser utilizados como inductores de fenómenos de remoción en masa. Se considera que estas aplicaciones pueden contribuir en la generación de planes de gestión del riesgo, así como en el ordenamiento productivo de mayor pertinencia para la zona.</w:t>
      </w:r>
    </w:p>
    <w:p w14:paraId="2DC0C6AB" w14:textId="57924EC8" w:rsidR="00252475" w:rsidRDefault="00926F22" w:rsidP="00252475">
      <w:pPr>
        <w:pBdr>
          <w:bottom w:val="single" w:sz="12" w:space="1" w:color="auto"/>
        </w:pBdr>
        <w:spacing w:line="240" w:lineRule="auto"/>
        <w:rPr>
          <w:rFonts w:cs="Times New Roman"/>
        </w:rPr>
      </w:pPr>
      <w:r w:rsidRPr="009F5363">
        <w:rPr>
          <w:rFonts w:cs="Times New Roman"/>
          <w:b/>
        </w:rPr>
        <w:t>Palabras claves:</w:t>
      </w:r>
      <w:r w:rsidRPr="007C7D21">
        <w:rPr>
          <w:rFonts w:cs="Times New Roman"/>
        </w:rPr>
        <w:t xml:space="preserve"> </w:t>
      </w:r>
      <w:r w:rsidR="0072555A" w:rsidRPr="007C7D21">
        <w:rPr>
          <w:rFonts w:cs="Times New Roman"/>
        </w:rPr>
        <w:t>C</w:t>
      </w:r>
      <w:r w:rsidRPr="007C7D21">
        <w:rPr>
          <w:rFonts w:cs="Times New Roman"/>
        </w:rPr>
        <w:t>apacidad de almacenamiento de agua en el suelo</w:t>
      </w:r>
      <w:r w:rsidR="008F6C3F" w:rsidRPr="007C7D21">
        <w:rPr>
          <w:rFonts w:cs="Times New Roman"/>
        </w:rPr>
        <w:t>;</w:t>
      </w:r>
      <w:r w:rsidRPr="007C7D21">
        <w:rPr>
          <w:rFonts w:cs="Times New Roman"/>
        </w:rPr>
        <w:t xml:space="preserve"> capacidad de uso</w:t>
      </w:r>
      <w:r w:rsidR="008F6C3F" w:rsidRPr="007C7D21">
        <w:rPr>
          <w:rFonts w:cs="Times New Roman"/>
        </w:rPr>
        <w:t>;</w:t>
      </w:r>
      <w:r w:rsidRPr="007C7D21">
        <w:rPr>
          <w:rFonts w:cs="Times New Roman"/>
        </w:rPr>
        <w:t xml:space="preserve"> disponibilidad de agua</w:t>
      </w:r>
      <w:r w:rsidR="008F6C3F" w:rsidRPr="007C7D21">
        <w:rPr>
          <w:rFonts w:cs="Times New Roman"/>
        </w:rPr>
        <w:t>;</w:t>
      </w:r>
      <w:r w:rsidRPr="007C7D21">
        <w:rPr>
          <w:rFonts w:cs="Times New Roman"/>
        </w:rPr>
        <w:t xml:space="preserve"> riesgos naturales.</w:t>
      </w:r>
    </w:p>
    <w:p w14:paraId="76234595" w14:textId="21A1876B" w:rsidR="000247A1" w:rsidRPr="007C7D21" w:rsidRDefault="002636C2" w:rsidP="00252475">
      <w:pPr>
        <w:spacing w:before="0" w:line="240" w:lineRule="auto"/>
        <w:jc w:val="center"/>
        <w:rPr>
          <w:rFonts w:cs="Times New Roman"/>
          <w:sz w:val="24"/>
          <w:szCs w:val="24"/>
          <w:lang w:val="en-US"/>
        </w:rPr>
      </w:pPr>
      <w:r w:rsidRPr="007C7D21">
        <w:rPr>
          <w:rFonts w:cs="Times New Roman"/>
          <w:b/>
          <w:sz w:val="24"/>
          <w:szCs w:val="24"/>
          <w:lang w:val="en-US"/>
        </w:rPr>
        <w:t>ABSTRACT</w:t>
      </w:r>
    </w:p>
    <w:p w14:paraId="42315958" w14:textId="77777777" w:rsidR="000247A1" w:rsidRPr="007C7D21" w:rsidRDefault="00926F22" w:rsidP="00252475">
      <w:pPr>
        <w:spacing w:before="0" w:line="240" w:lineRule="auto"/>
        <w:rPr>
          <w:rFonts w:cs="Times New Roman"/>
          <w:color w:val="222222"/>
          <w:lang w:val="en-US"/>
        </w:rPr>
      </w:pPr>
      <w:r w:rsidRPr="007C7D21">
        <w:rPr>
          <w:rFonts w:cs="Times New Roman"/>
          <w:color w:val="222222"/>
          <w:lang w:val="en"/>
        </w:rPr>
        <w:t xml:space="preserve">One of the ecosystems services of the soil is the possibility of regulating the water supply for productive uses. The land capability classification with an environmental approach must know the capacity of water storage in the soil, and thus avoid excessive water extraction, the negative effect on ecosystems and the </w:t>
      </w:r>
      <w:r w:rsidRPr="007C7D21">
        <w:rPr>
          <w:rFonts w:cs="Times New Roman"/>
          <w:color w:val="222222"/>
          <w:lang w:val="en"/>
        </w:rPr>
        <w:lastRenderedPageBreak/>
        <w:t xml:space="preserve">decrease of agricultural production in the lower sectors of the basin. Water storage capacity in the soil is also a relevant factor in defining the degree of land use for agriculture, livestock or multi-stratified systems. Adjustments to the potential land use classification </w:t>
      </w:r>
      <w:proofErr w:type="gramStart"/>
      <w:r w:rsidRPr="007C7D21">
        <w:rPr>
          <w:rFonts w:cs="Times New Roman"/>
          <w:color w:val="222222"/>
          <w:lang w:val="en"/>
        </w:rPr>
        <w:t>are proposed</w:t>
      </w:r>
      <w:proofErr w:type="gramEnd"/>
      <w:r w:rsidRPr="007C7D21">
        <w:rPr>
          <w:rFonts w:cs="Times New Roman"/>
          <w:color w:val="222222"/>
          <w:lang w:val="en"/>
        </w:rPr>
        <w:t xml:space="preserve"> when detailed scales are worked on, by improving procedures and improving interpretation. A quantitative and spatial variability approach </w:t>
      </w:r>
      <w:proofErr w:type="gramStart"/>
      <w:r w:rsidRPr="007C7D21">
        <w:rPr>
          <w:rFonts w:cs="Times New Roman"/>
          <w:color w:val="222222"/>
          <w:lang w:val="en"/>
        </w:rPr>
        <w:t>was applied</w:t>
      </w:r>
      <w:proofErr w:type="gramEnd"/>
      <w:r w:rsidRPr="007C7D21">
        <w:rPr>
          <w:rFonts w:cs="Times New Roman"/>
          <w:color w:val="222222"/>
          <w:lang w:val="en"/>
        </w:rPr>
        <w:t xml:space="preserve"> to obtain information on regulation indices and determine the categories of total water availability (surface and soil), in the </w:t>
      </w:r>
      <w:proofErr w:type="spellStart"/>
      <w:r w:rsidRPr="007C7D21">
        <w:rPr>
          <w:rFonts w:cs="Times New Roman"/>
          <w:color w:val="222222"/>
          <w:lang w:val="en"/>
        </w:rPr>
        <w:t>Barbillas</w:t>
      </w:r>
      <w:proofErr w:type="spellEnd"/>
      <w:r w:rsidRPr="007C7D21">
        <w:rPr>
          <w:rFonts w:cs="Times New Roman"/>
          <w:color w:val="222222"/>
          <w:lang w:val="en"/>
        </w:rPr>
        <w:t xml:space="preserve"> gully </w:t>
      </w:r>
      <w:proofErr w:type="spellStart"/>
      <w:r w:rsidRPr="007C7D21">
        <w:rPr>
          <w:rFonts w:cs="Times New Roman"/>
          <w:color w:val="222222"/>
          <w:lang w:val="en"/>
        </w:rPr>
        <w:t>microbasin</w:t>
      </w:r>
      <w:proofErr w:type="spellEnd"/>
      <w:r w:rsidRPr="007C7D21">
        <w:rPr>
          <w:rFonts w:cs="Times New Roman"/>
          <w:color w:val="222222"/>
          <w:lang w:val="en"/>
        </w:rPr>
        <w:t xml:space="preserve">, municipality of La Plata, Huila. The edaphic information contributed to improve the estimation of water in the soil, at effective depth and through the calculation of the decay water balance, the land capability classification </w:t>
      </w:r>
      <w:proofErr w:type="gramStart"/>
      <w:r w:rsidRPr="007C7D21">
        <w:rPr>
          <w:rFonts w:cs="Times New Roman"/>
          <w:color w:val="222222"/>
          <w:lang w:val="en"/>
        </w:rPr>
        <w:t>was specified</w:t>
      </w:r>
      <w:proofErr w:type="gramEnd"/>
      <w:r w:rsidRPr="007C7D21">
        <w:rPr>
          <w:rFonts w:cs="Times New Roman"/>
          <w:color w:val="222222"/>
          <w:lang w:val="en"/>
        </w:rPr>
        <w:t xml:space="preserve">. In different scenarios of climatic variability, significant changes </w:t>
      </w:r>
      <w:proofErr w:type="gramStart"/>
      <w:r w:rsidRPr="007C7D21">
        <w:rPr>
          <w:rFonts w:cs="Times New Roman"/>
          <w:color w:val="222222"/>
          <w:lang w:val="en"/>
        </w:rPr>
        <w:t>were found</w:t>
      </w:r>
      <w:proofErr w:type="gramEnd"/>
      <w:r w:rsidRPr="007C7D21">
        <w:rPr>
          <w:rFonts w:cs="Times New Roman"/>
          <w:color w:val="222222"/>
          <w:lang w:val="en"/>
        </w:rPr>
        <w:t xml:space="preserve"> in the availability of water in the </w:t>
      </w:r>
      <w:proofErr w:type="spellStart"/>
      <w:r w:rsidRPr="007C7D21">
        <w:rPr>
          <w:rFonts w:cs="Times New Roman"/>
          <w:color w:val="222222"/>
          <w:lang w:val="en"/>
        </w:rPr>
        <w:t>microbasin</w:t>
      </w:r>
      <w:proofErr w:type="spellEnd"/>
      <w:r w:rsidRPr="007C7D21">
        <w:rPr>
          <w:rFonts w:cs="Times New Roman"/>
          <w:color w:val="222222"/>
          <w:lang w:val="en"/>
        </w:rPr>
        <w:t xml:space="preserve">; additionally, excess moisture levels close to the liquid soil limit were evaluated, which could be used as inducers of mass removal phenomena. It </w:t>
      </w:r>
      <w:proofErr w:type="gramStart"/>
      <w:r w:rsidRPr="007C7D21">
        <w:rPr>
          <w:rFonts w:cs="Times New Roman"/>
          <w:color w:val="222222"/>
          <w:lang w:val="en"/>
        </w:rPr>
        <w:t>is considered</w:t>
      </w:r>
      <w:proofErr w:type="gramEnd"/>
      <w:r w:rsidRPr="007C7D21">
        <w:rPr>
          <w:rFonts w:cs="Times New Roman"/>
          <w:color w:val="222222"/>
          <w:lang w:val="en"/>
        </w:rPr>
        <w:t xml:space="preserve"> that these applications can help to generate risk management plans, as well as in the productive order of greater relevance for the area.</w:t>
      </w:r>
    </w:p>
    <w:p w14:paraId="1DD88EFB" w14:textId="71B021B1" w:rsidR="000247A1" w:rsidRDefault="00926F22" w:rsidP="00252475">
      <w:pPr>
        <w:spacing w:before="0" w:after="0" w:line="240" w:lineRule="auto"/>
        <w:rPr>
          <w:rFonts w:cs="Times New Roman"/>
          <w:color w:val="222222"/>
          <w:lang w:val="en"/>
        </w:rPr>
      </w:pPr>
      <w:r w:rsidRPr="00252475">
        <w:rPr>
          <w:rFonts w:cs="Times New Roman"/>
          <w:b/>
          <w:color w:val="222222"/>
          <w:lang w:val="en"/>
        </w:rPr>
        <w:t>Keywords:</w:t>
      </w:r>
      <w:r w:rsidRPr="007C7D21">
        <w:rPr>
          <w:rFonts w:cs="Times New Roman"/>
          <w:color w:val="222222"/>
          <w:lang w:val="en"/>
        </w:rPr>
        <w:t xml:space="preserve"> water storage capacity in the soil</w:t>
      </w:r>
      <w:r w:rsidR="008F6C3F" w:rsidRPr="007C7D21">
        <w:rPr>
          <w:rFonts w:cs="Times New Roman"/>
          <w:color w:val="222222"/>
          <w:lang w:val="en"/>
        </w:rPr>
        <w:t>;</w:t>
      </w:r>
      <w:r w:rsidRPr="007C7D21">
        <w:rPr>
          <w:rFonts w:cs="Times New Roman"/>
          <w:color w:val="222222"/>
          <w:lang w:val="en"/>
        </w:rPr>
        <w:t xml:space="preserve"> capacity for use</w:t>
      </w:r>
      <w:r w:rsidR="008F6C3F" w:rsidRPr="007C7D21">
        <w:rPr>
          <w:rFonts w:cs="Times New Roman"/>
          <w:color w:val="222222"/>
          <w:lang w:val="en"/>
        </w:rPr>
        <w:t>;</w:t>
      </w:r>
      <w:r w:rsidRPr="007C7D21">
        <w:rPr>
          <w:rFonts w:cs="Times New Roman"/>
          <w:color w:val="222222"/>
          <w:lang w:val="en"/>
        </w:rPr>
        <w:t xml:space="preserve"> water availability</w:t>
      </w:r>
      <w:r w:rsidR="008F6C3F" w:rsidRPr="007C7D21">
        <w:rPr>
          <w:rFonts w:cs="Times New Roman"/>
          <w:color w:val="222222"/>
          <w:lang w:val="en"/>
        </w:rPr>
        <w:t>;</w:t>
      </w:r>
      <w:r w:rsidRPr="007C7D21">
        <w:rPr>
          <w:rFonts w:cs="Times New Roman"/>
          <w:color w:val="222222"/>
          <w:lang w:val="en"/>
        </w:rPr>
        <w:t xml:space="preserve"> natural hazards</w:t>
      </w:r>
      <w:r w:rsidR="008F6C3F" w:rsidRPr="007C7D21">
        <w:rPr>
          <w:rFonts w:cs="Times New Roman"/>
          <w:color w:val="222222"/>
          <w:lang w:val="en"/>
        </w:rPr>
        <w:t>.</w:t>
      </w:r>
    </w:p>
    <w:p w14:paraId="5B260BA2" w14:textId="556D3927" w:rsidR="00252475" w:rsidRPr="007C7D21" w:rsidRDefault="00252475" w:rsidP="00252475">
      <w:pPr>
        <w:spacing w:before="0" w:after="0" w:line="240" w:lineRule="auto"/>
        <w:rPr>
          <w:rFonts w:cs="Times New Roman"/>
          <w:color w:val="222222"/>
          <w:lang w:val="en"/>
        </w:rPr>
      </w:pPr>
      <w:r>
        <w:rPr>
          <w:rFonts w:cs="Times New Roman"/>
          <w:color w:val="222222"/>
          <w:lang w:val="en"/>
        </w:rPr>
        <w:t>__________________________________________________________________________________</w:t>
      </w:r>
    </w:p>
    <w:p w14:paraId="17F1E7DC" w14:textId="3B4DDB35" w:rsidR="000247A1" w:rsidRPr="00623A8A" w:rsidRDefault="00623A8A" w:rsidP="00B13E1D">
      <w:pPr>
        <w:spacing w:line="240" w:lineRule="auto"/>
        <w:rPr>
          <w:rFonts w:eastAsia="Times New Roman" w:cs="Times New Roman"/>
          <w:color w:val="222222"/>
          <w:sz w:val="24"/>
          <w:szCs w:val="24"/>
          <w:lang w:eastAsia="es-CO"/>
        </w:rPr>
      </w:pPr>
      <w:r w:rsidRPr="00623A8A">
        <w:rPr>
          <w:rFonts w:eastAsia="Times New Roman" w:cs="Times New Roman"/>
          <w:b/>
          <w:color w:val="222222"/>
          <w:sz w:val="24"/>
          <w:szCs w:val="24"/>
          <w:lang w:eastAsia="es-CO"/>
        </w:rPr>
        <w:t>INTRODUCCIÓN</w:t>
      </w:r>
      <w:bookmarkStart w:id="0" w:name="_Toc518494542"/>
      <w:bookmarkEnd w:id="0"/>
    </w:p>
    <w:p w14:paraId="3658B100" w14:textId="59A693A0" w:rsidR="000247A1" w:rsidRPr="00F70D71" w:rsidRDefault="00926F22" w:rsidP="00252475">
      <w:pPr>
        <w:spacing w:before="0" w:after="0" w:line="240" w:lineRule="auto"/>
        <w:ind w:firstLine="567"/>
        <w:rPr>
          <w:rFonts w:cs="Times New Roman"/>
          <w:sz w:val="24"/>
          <w:szCs w:val="24"/>
        </w:rPr>
      </w:pPr>
      <w:r w:rsidRPr="00F70D71">
        <w:rPr>
          <w:rFonts w:cs="Times New Roman"/>
          <w:sz w:val="24"/>
          <w:szCs w:val="24"/>
        </w:rPr>
        <w:t>La clasificación del uso potencial o capacidad de uso de las tierras es una herramienta técnica que no ha perdido vigencia. En la actualidad se le considera un instrumento de decisión importante en la protección de las tierras agrícolas</w:t>
      </w:r>
      <w:r w:rsidR="00EF324A">
        <w:rPr>
          <w:rFonts w:cs="Times New Roman"/>
          <w:sz w:val="24"/>
          <w:szCs w:val="24"/>
        </w:rPr>
        <w:t xml:space="preserve"> (Decreto 3600 de 2007)</w:t>
      </w:r>
      <w:r w:rsidRPr="00F70D71">
        <w:rPr>
          <w:rFonts w:cs="Times New Roman"/>
          <w:sz w:val="24"/>
          <w:szCs w:val="24"/>
        </w:rPr>
        <w:t xml:space="preserve"> y en el fortalecimiento de programas que incluyan el tema de seguridad alimentaria para la población colombiana</w:t>
      </w:r>
      <w:r w:rsidR="002E3941">
        <w:rPr>
          <w:rFonts w:cs="Times New Roman"/>
          <w:sz w:val="24"/>
          <w:szCs w:val="24"/>
        </w:rPr>
        <w:t xml:space="preserve"> </w:t>
      </w:r>
      <w:r w:rsidR="00E257E0" w:rsidRPr="00F70D71">
        <w:rPr>
          <w:rFonts w:cs="Times New Roman"/>
          <w:sz w:val="24"/>
          <w:szCs w:val="24"/>
        </w:rPr>
        <w:t>(</w:t>
      </w:r>
      <w:r w:rsidR="001919F7">
        <w:rPr>
          <w:rFonts w:cs="Times New Roman"/>
          <w:sz w:val="24"/>
          <w:szCs w:val="24"/>
        </w:rPr>
        <w:t>Mejía, 2017</w:t>
      </w:r>
      <w:r w:rsidR="00E257E0" w:rsidRPr="00F70D71">
        <w:rPr>
          <w:rFonts w:cs="Times New Roman"/>
          <w:sz w:val="24"/>
          <w:szCs w:val="24"/>
        </w:rPr>
        <w:t>)</w:t>
      </w:r>
      <w:r w:rsidRPr="00F70D71">
        <w:rPr>
          <w:rFonts w:cs="Times New Roman"/>
          <w:sz w:val="24"/>
          <w:szCs w:val="24"/>
        </w:rPr>
        <w:t xml:space="preserve"> </w:t>
      </w:r>
    </w:p>
    <w:p w14:paraId="038B0AD2" w14:textId="29CB8632" w:rsidR="000247A1" w:rsidRPr="00F70D71" w:rsidRDefault="00CC5A52" w:rsidP="00252475">
      <w:pPr>
        <w:spacing w:before="0" w:after="0" w:line="240" w:lineRule="auto"/>
        <w:ind w:firstLine="567"/>
        <w:rPr>
          <w:rFonts w:cs="Times New Roman"/>
          <w:sz w:val="24"/>
          <w:szCs w:val="24"/>
        </w:rPr>
      </w:pPr>
      <w:r>
        <w:rPr>
          <w:rFonts w:cs="Times New Roman"/>
          <w:sz w:val="24"/>
          <w:szCs w:val="24"/>
        </w:rPr>
        <w:t xml:space="preserve">La línea de investigación en Geografía de suelos </w:t>
      </w:r>
      <w:r w:rsidR="00926F22" w:rsidRPr="00F70D71">
        <w:rPr>
          <w:rFonts w:cs="Times New Roman"/>
          <w:sz w:val="24"/>
          <w:szCs w:val="24"/>
        </w:rPr>
        <w:t xml:space="preserve">de la Subdirección de Agrología del Instituto Geográfico Agustín Codazzi, </w:t>
      </w:r>
      <w:r w:rsidR="00BE59DE">
        <w:rPr>
          <w:rFonts w:cs="Times New Roman"/>
          <w:sz w:val="24"/>
          <w:szCs w:val="24"/>
        </w:rPr>
        <w:t>en esta oportunidad</w:t>
      </w:r>
      <w:r w:rsidR="00926F22" w:rsidRPr="00F70D71">
        <w:rPr>
          <w:rFonts w:cs="Times New Roman"/>
          <w:sz w:val="24"/>
          <w:szCs w:val="24"/>
        </w:rPr>
        <w:t xml:space="preserve"> </w:t>
      </w:r>
      <w:r w:rsidR="00BE59DE">
        <w:rPr>
          <w:rFonts w:cs="Times New Roman"/>
          <w:sz w:val="24"/>
          <w:szCs w:val="24"/>
        </w:rPr>
        <w:t xml:space="preserve">se dedicó al fortalecimiento de las </w:t>
      </w:r>
      <w:r w:rsidR="00926F22" w:rsidRPr="00F70D71">
        <w:rPr>
          <w:rFonts w:cs="Times New Roman"/>
          <w:sz w:val="24"/>
          <w:szCs w:val="24"/>
        </w:rPr>
        <w:t>aplicaciones de los levantamientos de suelos,</w:t>
      </w:r>
      <w:r w:rsidR="00BE59DE">
        <w:rPr>
          <w:rFonts w:cs="Times New Roman"/>
          <w:sz w:val="24"/>
          <w:szCs w:val="24"/>
        </w:rPr>
        <w:t xml:space="preserve"> y</w:t>
      </w:r>
      <w:r w:rsidR="00926F22" w:rsidRPr="00F70D71">
        <w:rPr>
          <w:rFonts w:cs="Times New Roman"/>
          <w:sz w:val="24"/>
          <w:szCs w:val="24"/>
        </w:rPr>
        <w:t xml:space="preserve"> </w:t>
      </w:r>
      <w:r w:rsidR="00BE59DE">
        <w:rPr>
          <w:rFonts w:cs="Times New Roman"/>
          <w:sz w:val="24"/>
          <w:szCs w:val="24"/>
        </w:rPr>
        <w:t>fijó sus actividades en la</w:t>
      </w:r>
      <w:r w:rsidR="00926F22" w:rsidRPr="00F70D71">
        <w:rPr>
          <w:rFonts w:cs="Times New Roman"/>
          <w:sz w:val="24"/>
          <w:szCs w:val="24"/>
        </w:rPr>
        <w:t xml:space="preserve"> revis</w:t>
      </w:r>
      <w:r w:rsidR="00BE59DE">
        <w:rPr>
          <w:rFonts w:cs="Times New Roman"/>
          <w:sz w:val="24"/>
          <w:szCs w:val="24"/>
        </w:rPr>
        <w:t>ión de</w:t>
      </w:r>
      <w:r w:rsidR="00926F22" w:rsidRPr="00F70D71">
        <w:rPr>
          <w:rFonts w:cs="Times New Roman"/>
          <w:sz w:val="24"/>
          <w:szCs w:val="24"/>
        </w:rPr>
        <w:t xml:space="preserve"> métodos </w:t>
      </w:r>
      <w:r w:rsidR="00BE59DE">
        <w:rPr>
          <w:rFonts w:cs="Times New Roman"/>
          <w:sz w:val="24"/>
          <w:szCs w:val="24"/>
        </w:rPr>
        <w:t>e</w:t>
      </w:r>
      <w:r w:rsidR="00926F22" w:rsidRPr="00F70D71">
        <w:rPr>
          <w:rFonts w:cs="Times New Roman"/>
          <w:sz w:val="24"/>
          <w:szCs w:val="24"/>
        </w:rPr>
        <w:t xml:space="preserve"> instructivos relacionados con la capacidad de uso de las tierras, y encontró la posibilidad de innovar </w:t>
      </w:r>
      <w:r w:rsidR="00BE59DE">
        <w:rPr>
          <w:rFonts w:cs="Times New Roman"/>
          <w:sz w:val="24"/>
          <w:szCs w:val="24"/>
        </w:rPr>
        <w:t xml:space="preserve">en las técnicas de procesamiento de la información mediante la utilización de </w:t>
      </w:r>
      <w:r w:rsidR="00926F22" w:rsidRPr="00F70D71">
        <w:rPr>
          <w:rFonts w:cs="Times New Roman"/>
          <w:sz w:val="24"/>
          <w:szCs w:val="24"/>
        </w:rPr>
        <w:t>datos clim</w:t>
      </w:r>
      <w:r w:rsidR="00BE59DE">
        <w:rPr>
          <w:rFonts w:cs="Times New Roman"/>
          <w:sz w:val="24"/>
          <w:szCs w:val="24"/>
        </w:rPr>
        <w:t>atológicos</w:t>
      </w:r>
      <w:r w:rsidR="00926F22" w:rsidRPr="00F70D71">
        <w:rPr>
          <w:rFonts w:cs="Times New Roman"/>
          <w:sz w:val="24"/>
          <w:szCs w:val="24"/>
        </w:rPr>
        <w:t xml:space="preserve"> </w:t>
      </w:r>
      <w:r w:rsidR="00BE59DE">
        <w:rPr>
          <w:rFonts w:cs="Times New Roman"/>
          <w:sz w:val="24"/>
          <w:szCs w:val="24"/>
        </w:rPr>
        <w:t xml:space="preserve">para observar la variabilidad espacial </w:t>
      </w:r>
      <w:r w:rsidR="00926F22" w:rsidRPr="00F70D71">
        <w:rPr>
          <w:rFonts w:cs="Times New Roman"/>
          <w:sz w:val="24"/>
          <w:szCs w:val="24"/>
        </w:rPr>
        <w:t>dentro de una unidad hidrográfica</w:t>
      </w:r>
      <w:r w:rsidR="00BE59DE">
        <w:rPr>
          <w:rFonts w:cs="Times New Roman"/>
          <w:sz w:val="24"/>
          <w:szCs w:val="24"/>
        </w:rPr>
        <w:t xml:space="preserve"> de menor extensión</w:t>
      </w:r>
      <w:r w:rsidR="00926F22" w:rsidRPr="00F70D71">
        <w:rPr>
          <w:rFonts w:cs="Times New Roman"/>
          <w:sz w:val="24"/>
          <w:szCs w:val="24"/>
        </w:rPr>
        <w:t xml:space="preserve">. Además, </w:t>
      </w:r>
      <w:r w:rsidR="00BE59DE">
        <w:rPr>
          <w:rFonts w:cs="Times New Roman"/>
          <w:sz w:val="24"/>
          <w:szCs w:val="24"/>
        </w:rPr>
        <w:t>dentro de las actividades institucionales relacionadas con el catastro multipropósito,</w:t>
      </w:r>
      <w:r w:rsidR="00C7339F">
        <w:rPr>
          <w:rFonts w:cs="Times New Roman"/>
          <w:sz w:val="24"/>
          <w:szCs w:val="24"/>
        </w:rPr>
        <w:t xml:space="preserve"> </w:t>
      </w:r>
      <w:proofErr w:type="gramStart"/>
      <w:r w:rsidR="00E52BD5">
        <w:rPr>
          <w:rFonts w:cs="Times New Roman"/>
          <w:sz w:val="24"/>
          <w:szCs w:val="24"/>
        </w:rPr>
        <w:t>está  la</w:t>
      </w:r>
      <w:proofErr w:type="gramEnd"/>
      <w:r w:rsidR="00E52BD5">
        <w:rPr>
          <w:rFonts w:cs="Times New Roman"/>
          <w:sz w:val="24"/>
          <w:szCs w:val="24"/>
        </w:rPr>
        <w:t xml:space="preserve"> necesidad </w:t>
      </w:r>
      <w:r w:rsidR="00926F22" w:rsidRPr="00F70D71">
        <w:rPr>
          <w:rFonts w:cs="Times New Roman"/>
          <w:sz w:val="24"/>
          <w:szCs w:val="24"/>
        </w:rPr>
        <w:t xml:space="preserve">de generar información </w:t>
      </w:r>
      <w:r w:rsidR="00BE59DE">
        <w:rPr>
          <w:rFonts w:cs="Times New Roman"/>
          <w:sz w:val="24"/>
          <w:szCs w:val="24"/>
        </w:rPr>
        <w:t xml:space="preserve">alternativa </w:t>
      </w:r>
      <w:r w:rsidR="00926F22" w:rsidRPr="00F70D71">
        <w:rPr>
          <w:rFonts w:cs="Times New Roman"/>
          <w:sz w:val="24"/>
          <w:szCs w:val="24"/>
        </w:rPr>
        <w:t>sobre la disponibilidad de agua, lo que</w:t>
      </w:r>
      <w:r w:rsidR="00C7339F">
        <w:rPr>
          <w:rFonts w:cs="Times New Roman"/>
          <w:sz w:val="24"/>
          <w:szCs w:val="24"/>
        </w:rPr>
        <w:t xml:space="preserve"> le</w:t>
      </w:r>
      <w:r w:rsidR="00926F22" w:rsidRPr="00F70D71">
        <w:rPr>
          <w:rFonts w:cs="Times New Roman"/>
          <w:sz w:val="24"/>
          <w:szCs w:val="24"/>
        </w:rPr>
        <w:t xml:space="preserve"> permitió precisar las temáticas relacionadas con el uso </w:t>
      </w:r>
      <w:r w:rsidR="00BE59DE">
        <w:rPr>
          <w:rFonts w:cs="Times New Roman"/>
          <w:sz w:val="24"/>
          <w:szCs w:val="24"/>
        </w:rPr>
        <w:t xml:space="preserve">y valoración </w:t>
      </w:r>
      <w:r w:rsidR="00926F22" w:rsidRPr="00F70D71">
        <w:rPr>
          <w:rFonts w:cs="Times New Roman"/>
          <w:sz w:val="24"/>
          <w:szCs w:val="24"/>
        </w:rPr>
        <w:t>de l</w:t>
      </w:r>
      <w:r w:rsidR="00BE59DE">
        <w:rPr>
          <w:rFonts w:cs="Times New Roman"/>
          <w:sz w:val="24"/>
          <w:szCs w:val="24"/>
        </w:rPr>
        <w:t>as tierra</w:t>
      </w:r>
      <w:r w:rsidR="00926F22" w:rsidRPr="00F70D71">
        <w:rPr>
          <w:rFonts w:cs="Times New Roman"/>
          <w:sz w:val="24"/>
          <w:szCs w:val="24"/>
        </w:rPr>
        <w:t>s.</w:t>
      </w:r>
    </w:p>
    <w:p w14:paraId="082AC826" w14:textId="1DBD2717" w:rsidR="000247A1" w:rsidRPr="00F70D71" w:rsidRDefault="00926F22" w:rsidP="00252475">
      <w:pPr>
        <w:spacing w:before="0" w:after="0" w:line="240" w:lineRule="auto"/>
        <w:ind w:firstLine="567"/>
        <w:rPr>
          <w:rFonts w:cs="Times New Roman"/>
          <w:sz w:val="24"/>
          <w:szCs w:val="24"/>
        </w:rPr>
      </w:pPr>
      <w:r w:rsidRPr="00F70D71">
        <w:rPr>
          <w:rFonts w:cs="Times New Roman"/>
          <w:sz w:val="24"/>
          <w:szCs w:val="24"/>
        </w:rPr>
        <w:t xml:space="preserve">El levantamiento </w:t>
      </w:r>
      <w:proofErr w:type="spellStart"/>
      <w:r w:rsidRPr="00F70D71">
        <w:rPr>
          <w:rFonts w:cs="Times New Roman"/>
          <w:sz w:val="24"/>
          <w:szCs w:val="24"/>
        </w:rPr>
        <w:t>semidetallado</w:t>
      </w:r>
      <w:proofErr w:type="spellEnd"/>
      <w:r w:rsidRPr="00F70D71">
        <w:rPr>
          <w:rFonts w:cs="Times New Roman"/>
          <w:sz w:val="24"/>
          <w:szCs w:val="24"/>
        </w:rPr>
        <w:t xml:space="preserve"> de suelos de la microcuenca del río Barbillas permitió definir dos unidades climáticas que tienen comportamientos diferenciados cuando se les aborda desde los ramales hidrológicos, los escurrimientos de agua y</w:t>
      </w:r>
      <w:r w:rsidR="004F3416">
        <w:rPr>
          <w:rFonts w:cs="Times New Roman"/>
          <w:sz w:val="24"/>
          <w:szCs w:val="24"/>
        </w:rPr>
        <w:t xml:space="preserve"> los</w:t>
      </w:r>
      <w:r w:rsidRPr="00F70D71">
        <w:rPr>
          <w:rFonts w:cs="Times New Roman"/>
          <w:sz w:val="24"/>
          <w:szCs w:val="24"/>
        </w:rPr>
        <w:t xml:space="preserve"> factores regulatorios de la relación agua- suelo</w:t>
      </w:r>
      <w:r w:rsidR="004F3416">
        <w:rPr>
          <w:rFonts w:cs="Times New Roman"/>
          <w:sz w:val="24"/>
          <w:szCs w:val="24"/>
        </w:rPr>
        <w:t xml:space="preserve"> se consideran importantes para definir el uso y manejo y tomar medidas de protección ante posibles desastres</w:t>
      </w:r>
      <w:r w:rsidRPr="00F70D71">
        <w:rPr>
          <w:rFonts w:cs="Times New Roman"/>
          <w:sz w:val="24"/>
          <w:szCs w:val="24"/>
        </w:rPr>
        <w:t>.</w:t>
      </w:r>
    </w:p>
    <w:p w14:paraId="6C4D1392" w14:textId="1D821467" w:rsidR="000247A1" w:rsidRPr="00F70D71" w:rsidRDefault="00926F22" w:rsidP="00252475">
      <w:pPr>
        <w:spacing w:before="0" w:after="0" w:line="240" w:lineRule="auto"/>
        <w:ind w:firstLine="567"/>
        <w:rPr>
          <w:rFonts w:cs="Times New Roman"/>
          <w:sz w:val="24"/>
          <w:szCs w:val="24"/>
        </w:rPr>
      </w:pPr>
      <w:r w:rsidRPr="00F70D71">
        <w:rPr>
          <w:rFonts w:cs="Times New Roman"/>
          <w:sz w:val="24"/>
          <w:szCs w:val="24"/>
        </w:rPr>
        <w:t xml:space="preserve">La metodología que se revisa en la actualidad contiene como factores determinantes de la clase agrológica la distribución de las lluvias, el piso térmico, la condición de humedad, el régimen de temperatura, la presencia de heladas y el régimen climático del suelo. Sin embargo, en la escala general, la disponibilidad de agua se determina a partir del balance hídrico climático, que relaciona la evapotranspiración con la precipitación, y en el cual se tenía como </w:t>
      </w:r>
      <w:proofErr w:type="gramStart"/>
      <w:r w:rsidR="00246076">
        <w:rPr>
          <w:rFonts w:cs="Times New Roman"/>
          <w:sz w:val="24"/>
          <w:szCs w:val="24"/>
        </w:rPr>
        <w:t>elemento</w:t>
      </w:r>
      <w:proofErr w:type="gramEnd"/>
      <w:r w:rsidR="00246076">
        <w:rPr>
          <w:rFonts w:cs="Times New Roman"/>
          <w:sz w:val="24"/>
          <w:szCs w:val="24"/>
        </w:rPr>
        <w:t xml:space="preserve"> de partida</w:t>
      </w:r>
      <w:r w:rsidR="00EF324A">
        <w:rPr>
          <w:rFonts w:cs="Times New Roman"/>
          <w:sz w:val="24"/>
          <w:szCs w:val="24"/>
        </w:rPr>
        <w:t xml:space="preserve"> un</w:t>
      </w:r>
      <w:r w:rsidRPr="00F70D71">
        <w:rPr>
          <w:rFonts w:cs="Times New Roman"/>
          <w:sz w:val="24"/>
          <w:szCs w:val="24"/>
        </w:rPr>
        <w:t xml:space="preserve"> almacenamiento </w:t>
      </w:r>
      <w:r w:rsidR="00EF324A" w:rsidRPr="00F70D71">
        <w:rPr>
          <w:rFonts w:cs="Times New Roman"/>
          <w:sz w:val="24"/>
          <w:szCs w:val="24"/>
        </w:rPr>
        <w:t xml:space="preserve">de 100 milímetros </w:t>
      </w:r>
      <w:r w:rsidRPr="00F70D71">
        <w:rPr>
          <w:rFonts w:cs="Times New Roman"/>
          <w:sz w:val="24"/>
          <w:szCs w:val="24"/>
        </w:rPr>
        <w:t>de agua, en todos los</w:t>
      </w:r>
      <w:r w:rsidR="0008413F">
        <w:rPr>
          <w:rFonts w:cs="Times New Roman"/>
          <w:sz w:val="24"/>
          <w:szCs w:val="24"/>
        </w:rPr>
        <w:t xml:space="preserve"> tipos de</w:t>
      </w:r>
      <w:r w:rsidRPr="00F70D71">
        <w:rPr>
          <w:rFonts w:cs="Times New Roman"/>
          <w:sz w:val="24"/>
          <w:szCs w:val="24"/>
        </w:rPr>
        <w:t xml:space="preserve"> suelos</w:t>
      </w:r>
      <w:r w:rsidR="0008413F">
        <w:rPr>
          <w:rFonts w:cs="Times New Roman"/>
          <w:sz w:val="24"/>
          <w:szCs w:val="24"/>
        </w:rPr>
        <w:t xml:space="preserve"> y esto se considera un</w:t>
      </w:r>
      <w:r w:rsidR="008549AD">
        <w:rPr>
          <w:rFonts w:cs="Times New Roman"/>
          <w:sz w:val="24"/>
          <w:szCs w:val="24"/>
        </w:rPr>
        <w:t>a imprecisión</w:t>
      </w:r>
      <w:r w:rsidR="0008413F">
        <w:rPr>
          <w:rFonts w:cs="Times New Roman"/>
          <w:sz w:val="24"/>
          <w:szCs w:val="24"/>
        </w:rPr>
        <w:t xml:space="preserve"> en el procedimiento que no permite </w:t>
      </w:r>
      <w:r w:rsidR="008549AD">
        <w:rPr>
          <w:rFonts w:cs="Times New Roman"/>
          <w:sz w:val="24"/>
          <w:szCs w:val="24"/>
        </w:rPr>
        <w:t>re</w:t>
      </w:r>
      <w:r w:rsidR="0008413F">
        <w:rPr>
          <w:rFonts w:cs="Times New Roman"/>
          <w:sz w:val="24"/>
          <w:szCs w:val="24"/>
        </w:rPr>
        <w:t>conocer los índices reales de escurrimiento superficial</w:t>
      </w:r>
      <w:r w:rsidR="00246076">
        <w:rPr>
          <w:rFonts w:cs="Times New Roman"/>
          <w:sz w:val="24"/>
          <w:szCs w:val="24"/>
        </w:rPr>
        <w:t xml:space="preserve"> y no </w:t>
      </w:r>
      <w:r w:rsidR="008549AD">
        <w:rPr>
          <w:rFonts w:cs="Times New Roman"/>
          <w:sz w:val="24"/>
          <w:szCs w:val="24"/>
        </w:rPr>
        <w:t xml:space="preserve">fija </w:t>
      </w:r>
      <w:r w:rsidR="00246076">
        <w:rPr>
          <w:rFonts w:cs="Times New Roman"/>
          <w:sz w:val="24"/>
          <w:szCs w:val="24"/>
        </w:rPr>
        <w:t>diferencias en cuanto a la disponibilidad de agua</w:t>
      </w:r>
      <w:r w:rsidRPr="00F70D71">
        <w:rPr>
          <w:rFonts w:cs="Times New Roman"/>
          <w:sz w:val="24"/>
          <w:szCs w:val="24"/>
        </w:rPr>
        <w:t>.</w:t>
      </w:r>
    </w:p>
    <w:p w14:paraId="63F4C9F6" w14:textId="331788F9" w:rsidR="000247A1" w:rsidRPr="00F70D71" w:rsidRDefault="00926F22" w:rsidP="00252475">
      <w:pPr>
        <w:spacing w:before="0" w:after="0" w:line="240" w:lineRule="auto"/>
        <w:ind w:firstLine="567"/>
        <w:rPr>
          <w:rFonts w:cs="Times New Roman"/>
          <w:sz w:val="24"/>
          <w:szCs w:val="24"/>
        </w:rPr>
      </w:pPr>
      <w:r w:rsidRPr="00F70D71">
        <w:rPr>
          <w:rFonts w:cs="Times New Roman"/>
          <w:sz w:val="24"/>
          <w:szCs w:val="24"/>
        </w:rPr>
        <w:t>En la investigación se presentan resultados parciales del análisis de la secuencia clima, cuenca, paisaje y suelo. A través de dicho análisis se incluy</w:t>
      </w:r>
      <w:r w:rsidR="008549AD">
        <w:rPr>
          <w:rFonts w:cs="Times New Roman"/>
          <w:sz w:val="24"/>
          <w:szCs w:val="24"/>
        </w:rPr>
        <w:t>ó</w:t>
      </w:r>
      <w:r w:rsidRPr="00F70D71">
        <w:rPr>
          <w:rFonts w:cs="Times New Roman"/>
          <w:sz w:val="24"/>
          <w:szCs w:val="24"/>
        </w:rPr>
        <w:t xml:space="preserve"> la fluctuación del almacenamiento de agua, para el que se tom</w:t>
      </w:r>
      <w:r w:rsidR="008549AD">
        <w:rPr>
          <w:rFonts w:cs="Times New Roman"/>
          <w:sz w:val="24"/>
          <w:szCs w:val="24"/>
        </w:rPr>
        <w:t>ó</w:t>
      </w:r>
      <w:r w:rsidRPr="00F70D71">
        <w:rPr>
          <w:rFonts w:cs="Times New Roman"/>
          <w:sz w:val="24"/>
          <w:szCs w:val="24"/>
        </w:rPr>
        <w:t xml:space="preserve"> como referencia un año normal y </w:t>
      </w:r>
      <w:r w:rsidR="008549AD">
        <w:rPr>
          <w:rFonts w:cs="Times New Roman"/>
          <w:sz w:val="24"/>
          <w:szCs w:val="24"/>
        </w:rPr>
        <w:t xml:space="preserve">se confrontó con los </w:t>
      </w:r>
      <w:r w:rsidRPr="00F70D71">
        <w:rPr>
          <w:rFonts w:cs="Times New Roman"/>
          <w:sz w:val="24"/>
          <w:szCs w:val="24"/>
        </w:rPr>
        <w:t>periodos de ocurrencia de fenómenos de niño y de niña. Además se incluye</w:t>
      </w:r>
      <w:r w:rsidR="001B52FF">
        <w:rPr>
          <w:rFonts w:cs="Times New Roman"/>
          <w:sz w:val="24"/>
          <w:szCs w:val="24"/>
        </w:rPr>
        <w:t>ro</w:t>
      </w:r>
      <w:r w:rsidRPr="00F70D71">
        <w:rPr>
          <w:rFonts w:cs="Times New Roman"/>
          <w:sz w:val="24"/>
          <w:szCs w:val="24"/>
        </w:rPr>
        <w:t>n aportes conceptuales que propenden por el uso adecuado de los suelos y fija una posición de alerta ante riesgos que puedan presentarse en periodos climáticos extremos (IGAC, 2018).</w:t>
      </w:r>
    </w:p>
    <w:p w14:paraId="40F4E15F" w14:textId="3D18D992" w:rsidR="000247A1" w:rsidRPr="00F70D71" w:rsidRDefault="00926F22" w:rsidP="00252475">
      <w:pPr>
        <w:spacing w:before="0" w:after="0" w:line="240" w:lineRule="auto"/>
        <w:ind w:firstLine="567"/>
        <w:rPr>
          <w:rFonts w:cs="Times New Roman"/>
          <w:sz w:val="24"/>
          <w:szCs w:val="24"/>
        </w:rPr>
      </w:pPr>
      <w:r w:rsidRPr="00F70D71">
        <w:rPr>
          <w:rFonts w:cs="Times New Roman"/>
          <w:sz w:val="24"/>
          <w:szCs w:val="24"/>
        </w:rPr>
        <w:t>Cuando se tratan los fenómenos</w:t>
      </w:r>
      <w:r w:rsidR="008549AD">
        <w:rPr>
          <w:rFonts w:cs="Times New Roman"/>
          <w:sz w:val="24"/>
          <w:szCs w:val="24"/>
        </w:rPr>
        <w:t xml:space="preserve"> observados</w:t>
      </w:r>
      <w:r w:rsidRPr="00F70D71">
        <w:rPr>
          <w:rFonts w:cs="Times New Roman"/>
          <w:sz w:val="24"/>
          <w:szCs w:val="24"/>
        </w:rPr>
        <w:t xml:space="preserve"> como entidades separadas se incurre en interpretaciones desvinculadas de la realidad o parcializadas, que aportan poco a la solución de </w:t>
      </w:r>
      <w:r w:rsidRPr="00F70D71">
        <w:rPr>
          <w:rFonts w:cs="Times New Roman"/>
          <w:sz w:val="24"/>
          <w:szCs w:val="24"/>
        </w:rPr>
        <w:lastRenderedPageBreak/>
        <w:t xml:space="preserve">problemas y </w:t>
      </w:r>
      <w:r w:rsidR="008549AD">
        <w:rPr>
          <w:rFonts w:cs="Times New Roman"/>
          <w:sz w:val="24"/>
          <w:szCs w:val="24"/>
        </w:rPr>
        <w:t>a</w:t>
      </w:r>
      <w:r w:rsidRPr="00F70D71">
        <w:rPr>
          <w:rFonts w:cs="Times New Roman"/>
          <w:sz w:val="24"/>
          <w:szCs w:val="24"/>
        </w:rPr>
        <w:t xml:space="preserve"> la interpretación escalar del fenómeno. Es por eso que para analizar la disponibilidad de agua es necesario </w:t>
      </w:r>
      <w:r w:rsidR="00B02BE2">
        <w:rPr>
          <w:rFonts w:cs="Times New Roman"/>
          <w:sz w:val="24"/>
          <w:szCs w:val="24"/>
        </w:rPr>
        <w:t>transitar</w:t>
      </w:r>
      <w:r w:rsidRPr="00F70D71">
        <w:rPr>
          <w:rFonts w:cs="Times New Roman"/>
          <w:sz w:val="24"/>
          <w:szCs w:val="24"/>
        </w:rPr>
        <w:t xml:space="preserve"> por </w:t>
      </w:r>
      <w:r w:rsidR="008549AD">
        <w:rPr>
          <w:rFonts w:cs="Times New Roman"/>
          <w:sz w:val="24"/>
          <w:szCs w:val="24"/>
        </w:rPr>
        <w:t>el</w:t>
      </w:r>
      <w:r w:rsidRPr="00F70D71">
        <w:rPr>
          <w:rFonts w:cs="Times New Roman"/>
          <w:sz w:val="24"/>
          <w:szCs w:val="24"/>
        </w:rPr>
        <w:t xml:space="preserve"> análisis climático, </w:t>
      </w:r>
      <w:r w:rsidR="001B52FF">
        <w:rPr>
          <w:rFonts w:cs="Times New Roman"/>
          <w:sz w:val="24"/>
          <w:szCs w:val="24"/>
        </w:rPr>
        <w:t>de la</w:t>
      </w:r>
      <w:r w:rsidRPr="00F70D71">
        <w:rPr>
          <w:rFonts w:cs="Times New Roman"/>
          <w:sz w:val="24"/>
          <w:szCs w:val="24"/>
        </w:rPr>
        <w:t xml:space="preserve"> hidráulic</w:t>
      </w:r>
      <w:r w:rsidR="001B52FF">
        <w:rPr>
          <w:rFonts w:cs="Times New Roman"/>
          <w:sz w:val="24"/>
          <w:szCs w:val="24"/>
        </w:rPr>
        <w:t>a</w:t>
      </w:r>
      <w:r w:rsidRPr="00F70D71">
        <w:rPr>
          <w:rFonts w:cs="Times New Roman"/>
          <w:sz w:val="24"/>
          <w:szCs w:val="24"/>
        </w:rPr>
        <w:t xml:space="preserve"> </w:t>
      </w:r>
      <w:r w:rsidR="00B53094">
        <w:rPr>
          <w:rFonts w:cs="Times New Roman"/>
          <w:sz w:val="24"/>
          <w:szCs w:val="24"/>
        </w:rPr>
        <w:t xml:space="preserve">observada a través de </w:t>
      </w:r>
      <w:r w:rsidRPr="00F70D71">
        <w:rPr>
          <w:rFonts w:cs="Times New Roman"/>
          <w:sz w:val="24"/>
          <w:szCs w:val="24"/>
        </w:rPr>
        <w:t xml:space="preserve">la </w:t>
      </w:r>
      <w:proofErr w:type="spellStart"/>
      <w:r w:rsidRPr="00F70D71">
        <w:rPr>
          <w:rFonts w:cs="Times New Roman"/>
          <w:sz w:val="24"/>
          <w:szCs w:val="24"/>
        </w:rPr>
        <w:t>morfometría</w:t>
      </w:r>
      <w:proofErr w:type="spellEnd"/>
      <w:r w:rsidRPr="00F70D71">
        <w:rPr>
          <w:rFonts w:cs="Times New Roman"/>
          <w:sz w:val="24"/>
          <w:szCs w:val="24"/>
        </w:rPr>
        <w:t xml:space="preserve"> de la cuenca</w:t>
      </w:r>
      <w:r w:rsidR="008549AD">
        <w:rPr>
          <w:rFonts w:cs="Times New Roman"/>
          <w:sz w:val="24"/>
          <w:szCs w:val="24"/>
        </w:rPr>
        <w:t>,</w:t>
      </w:r>
      <w:r w:rsidRPr="00F70D71">
        <w:rPr>
          <w:rFonts w:cs="Times New Roman"/>
          <w:sz w:val="24"/>
          <w:szCs w:val="24"/>
        </w:rPr>
        <w:t xml:space="preserve"> por la interpretación de los cambios en la capacidad de almacenamiento y en </w:t>
      </w:r>
      <w:r w:rsidR="008549AD">
        <w:rPr>
          <w:rFonts w:cs="Times New Roman"/>
          <w:sz w:val="24"/>
          <w:szCs w:val="24"/>
        </w:rPr>
        <w:t>proponer</w:t>
      </w:r>
      <w:r w:rsidRPr="00F70D71">
        <w:rPr>
          <w:rFonts w:cs="Times New Roman"/>
          <w:sz w:val="24"/>
          <w:szCs w:val="24"/>
        </w:rPr>
        <w:t xml:space="preserve"> categorías </w:t>
      </w:r>
      <w:r w:rsidR="008549AD">
        <w:rPr>
          <w:rFonts w:cs="Times New Roman"/>
          <w:sz w:val="24"/>
          <w:szCs w:val="24"/>
        </w:rPr>
        <w:t xml:space="preserve">que mejore la información referida al </w:t>
      </w:r>
      <w:r w:rsidRPr="00F70D71">
        <w:rPr>
          <w:rFonts w:cs="Times New Roman"/>
          <w:color w:val="000000" w:themeColor="text1"/>
          <w:sz w:val="24"/>
          <w:szCs w:val="24"/>
        </w:rPr>
        <w:t>escurrimiento de aguas</w:t>
      </w:r>
      <w:r w:rsidRPr="00F70D71">
        <w:rPr>
          <w:rFonts w:cs="Times New Roman"/>
          <w:sz w:val="24"/>
          <w:szCs w:val="24"/>
        </w:rPr>
        <w:t>.</w:t>
      </w:r>
    </w:p>
    <w:p w14:paraId="0D76CEC9" w14:textId="7C682916" w:rsidR="000247A1" w:rsidRDefault="00926F22" w:rsidP="00252475">
      <w:pPr>
        <w:spacing w:before="0" w:after="0" w:line="240" w:lineRule="auto"/>
        <w:ind w:firstLine="567"/>
        <w:rPr>
          <w:rFonts w:cs="Times New Roman"/>
          <w:sz w:val="24"/>
          <w:szCs w:val="24"/>
        </w:rPr>
      </w:pPr>
      <w:r w:rsidRPr="00F70D71">
        <w:rPr>
          <w:rFonts w:cs="Times New Roman"/>
          <w:sz w:val="24"/>
          <w:szCs w:val="24"/>
        </w:rPr>
        <w:t xml:space="preserve">El área de estudio corresponde a la microcuenca de la Quebrada Barbillas, localizada en el municipio de La Plata, departamento de Huila, Colombia (Figura 1). Tiene una extensión de 2.635 ha, correspondiente al paisaje de montaña en un 90% de la extensión; en la región predomina el relieve de filas y vigas caracterizado por pendientes largas y muy largas, de vertientes rectas y poco </w:t>
      </w:r>
      <w:proofErr w:type="spellStart"/>
      <w:r w:rsidRPr="00F70D71">
        <w:rPr>
          <w:rFonts w:cs="Times New Roman"/>
          <w:sz w:val="24"/>
          <w:szCs w:val="24"/>
        </w:rPr>
        <w:t>disectadas</w:t>
      </w:r>
      <w:proofErr w:type="spellEnd"/>
      <w:r w:rsidRPr="00F70D71">
        <w:rPr>
          <w:rFonts w:cs="Times New Roman"/>
          <w:sz w:val="24"/>
          <w:szCs w:val="24"/>
        </w:rPr>
        <w:t xml:space="preserve"> debido a la dureza de su material geológico y en el sector bajo de la microcuenca se encuentran abanicos aluviales de perfil rectilíneo y con diversos grados de disección. Las unidades climáticas delimitadas corresponden a frío húmedo y templado húmedo, con precipitaciones que superan los 1.500 mm anuales y temperatura promedio inferior a los 22°C.</w:t>
      </w:r>
    </w:p>
    <w:p w14:paraId="42FD1F10" w14:textId="138352A1" w:rsidR="00B02BE2" w:rsidRDefault="00B02BE2" w:rsidP="00252475">
      <w:pPr>
        <w:spacing w:before="0" w:after="0" w:line="240" w:lineRule="auto"/>
        <w:ind w:firstLine="567"/>
        <w:rPr>
          <w:rFonts w:cs="Times New Roman"/>
          <w:sz w:val="24"/>
          <w:szCs w:val="24"/>
        </w:rPr>
      </w:pPr>
      <w:r>
        <w:rPr>
          <w:rFonts w:cs="Times New Roman"/>
          <w:sz w:val="24"/>
          <w:szCs w:val="24"/>
        </w:rPr>
        <w:t xml:space="preserve">El objetivo de la investigación es presentar un procedimiento alternativo para incluir la capacidad de almacenamiento de agua en el suelo como una variable cambiante en el espacio que permite definir con mayor exactitud la disponibilidad de agua para los cultivos, informar sobre los riesgos </w:t>
      </w:r>
      <w:r w:rsidR="00122BD9">
        <w:rPr>
          <w:rFonts w:cs="Times New Roman"/>
          <w:sz w:val="24"/>
          <w:szCs w:val="24"/>
        </w:rPr>
        <w:t xml:space="preserve">a </w:t>
      </w:r>
      <w:r>
        <w:rPr>
          <w:rFonts w:cs="Times New Roman"/>
          <w:sz w:val="24"/>
          <w:szCs w:val="24"/>
        </w:rPr>
        <w:t>movimientos en masa</w:t>
      </w:r>
      <w:r w:rsidR="00122BD9">
        <w:rPr>
          <w:rFonts w:cs="Times New Roman"/>
          <w:sz w:val="24"/>
          <w:szCs w:val="24"/>
        </w:rPr>
        <w:t xml:space="preserve"> e identificar las áreas que tendrán mayor impacto al cambio climático cuando se intensifiquen los periodos de sequía.</w:t>
      </w:r>
      <w:r>
        <w:rPr>
          <w:rFonts w:cs="Times New Roman"/>
          <w:sz w:val="24"/>
          <w:szCs w:val="24"/>
        </w:rPr>
        <w:t xml:space="preserve"> </w:t>
      </w:r>
    </w:p>
    <w:p w14:paraId="300596B3" w14:textId="25EC5035" w:rsidR="00F60947" w:rsidRDefault="005C76E6" w:rsidP="00252475">
      <w:pPr>
        <w:spacing w:before="0" w:after="0" w:line="240" w:lineRule="auto"/>
        <w:ind w:firstLine="567"/>
        <w:rPr>
          <w:rFonts w:cs="Times New Roman"/>
          <w:sz w:val="24"/>
          <w:szCs w:val="24"/>
        </w:rPr>
      </w:pPr>
      <w:r>
        <w:rPr>
          <w:rFonts w:cs="Times New Roman"/>
          <w:sz w:val="24"/>
          <w:szCs w:val="24"/>
        </w:rPr>
        <w:t xml:space="preserve">En este informe se incluye adicionalmente un análisis comparativo entre procedimientos actualizados sobre la disponibilidad de agua para catastro y el mejoramiento de la información cuando se tiene </w:t>
      </w:r>
      <w:r w:rsidR="00376AAE">
        <w:rPr>
          <w:rFonts w:cs="Times New Roman"/>
          <w:sz w:val="24"/>
          <w:szCs w:val="24"/>
        </w:rPr>
        <w:t>datos</w:t>
      </w:r>
      <w:r>
        <w:rPr>
          <w:rFonts w:cs="Times New Roman"/>
          <w:sz w:val="24"/>
          <w:szCs w:val="24"/>
        </w:rPr>
        <w:t xml:space="preserve"> de suelos a la escala 1</w:t>
      </w:r>
      <w:r w:rsidR="005C177C">
        <w:rPr>
          <w:rFonts w:cs="Times New Roman"/>
          <w:sz w:val="24"/>
          <w:szCs w:val="24"/>
        </w:rPr>
        <w:t>:2</w:t>
      </w:r>
      <w:r>
        <w:rPr>
          <w:rFonts w:cs="Times New Roman"/>
          <w:sz w:val="24"/>
          <w:szCs w:val="24"/>
        </w:rPr>
        <w:t>5.000.</w:t>
      </w:r>
    </w:p>
    <w:p w14:paraId="7D47DE9D" w14:textId="77777777" w:rsidR="00252475" w:rsidRPr="00F70D71" w:rsidRDefault="00252475" w:rsidP="00252475">
      <w:pPr>
        <w:spacing w:before="0" w:after="0" w:line="240" w:lineRule="auto"/>
        <w:ind w:firstLine="567"/>
        <w:rPr>
          <w:rFonts w:cs="Times New Roman"/>
          <w:sz w:val="24"/>
          <w:szCs w:val="24"/>
        </w:rPr>
      </w:pPr>
    </w:p>
    <w:p w14:paraId="21E79D42" w14:textId="12424EF8" w:rsidR="000247A1" w:rsidRDefault="00926F22" w:rsidP="00B13E1D">
      <w:pPr>
        <w:spacing w:before="0" w:after="0" w:line="240" w:lineRule="auto"/>
        <w:jc w:val="center"/>
        <w:rPr>
          <w:rFonts w:cs="Times New Roman"/>
          <w:b/>
          <w:sz w:val="24"/>
          <w:szCs w:val="24"/>
          <w:lang w:val="es-ES"/>
        </w:rPr>
      </w:pPr>
      <w:r w:rsidRPr="00F70D71">
        <w:rPr>
          <w:rFonts w:cs="Times New Roman"/>
          <w:noProof/>
          <w:sz w:val="24"/>
          <w:szCs w:val="24"/>
          <w:lang w:val="es-EC" w:eastAsia="es-EC"/>
        </w:rPr>
        <w:drawing>
          <wp:inline distT="0" distB="0" distL="0" distR="0" wp14:anchorId="567B0BA3" wp14:editId="1FE3774B">
            <wp:extent cx="5661428" cy="3905250"/>
            <wp:effectExtent l="0" t="0" r="0" b="0"/>
            <wp:docPr id="1" name="Imagen 7" descr="\\4080-36621\git_modernizacion\4. CARTOGRAFIA_TEMATICA\CAM\SALIDAS_20191002\11. UB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7" descr="\\4080-36621\git_modernizacion\4. CARTOGRAFIA_TEMATICA\CAM\SALIDAS_20191002\11. UBICACION.jpg"/>
                    <pic:cNvPicPr>
                      <a:picLocks noChangeAspect="1" noChangeArrowheads="1"/>
                    </pic:cNvPicPr>
                  </pic:nvPicPr>
                  <pic:blipFill>
                    <a:blip r:embed="rId9"/>
                    <a:stretch>
                      <a:fillRect/>
                    </a:stretch>
                  </pic:blipFill>
                  <pic:spPr bwMode="auto">
                    <a:xfrm>
                      <a:off x="0" y="0"/>
                      <a:ext cx="5666070" cy="3908452"/>
                    </a:xfrm>
                    <a:prstGeom prst="rect">
                      <a:avLst/>
                    </a:prstGeom>
                  </pic:spPr>
                </pic:pic>
              </a:graphicData>
            </a:graphic>
          </wp:inline>
        </w:drawing>
      </w:r>
    </w:p>
    <w:p w14:paraId="4686470C" w14:textId="77777777" w:rsidR="005C177C" w:rsidRPr="00252475" w:rsidRDefault="005C177C" w:rsidP="005C177C">
      <w:pPr>
        <w:spacing w:before="0" w:after="0" w:line="240" w:lineRule="auto"/>
        <w:jc w:val="center"/>
        <w:rPr>
          <w:rFonts w:cs="Times New Roman"/>
          <w:bCs/>
        </w:rPr>
      </w:pPr>
      <w:r w:rsidRPr="00252475">
        <w:rPr>
          <w:rFonts w:cs="Times New Roman"/>
          <w:bCs/>
        </w:rPr>
        <w:t>Figura 1. Localización del área de estudio y puntos de muestreo.</w:t>
      </w:r>
    </w:p>
    <w:p w14:paraId="2AB80022" w14:textId="6F9B63BC" w:rsidR="006D333C" w:rsidRPr="00252475" w:rsidRDefault="005C177C" w:rsidP="00252475">
      <w:pPr>
        <w:spacing w:before="0" w:line="240" w:lineRule="auto"/>
        <w:rPr>
          <w:rFonts w:cs="Times New Roman"/>
        </w:rPr>
      </w:pPr>
      <w:r w:rsidRPr="00252475">
        <w:rPr>
          <w:rFonts w:cs="Times New Roman"/>
          <w:b/>
        </w:rPr>
        <w:t xml:space="preserve">                                                               </w:t>
      </w:r>
      <w:r w:rsidR="006D333C" w:rsidRPr="00252475">
        <w:rPr>
          <w:rFonts w:cs="Times New Roman"/>
        </w:rPr>
        <w:t>Fuente: los Autores</w:t>
      </w:r>
    </w:p>
    <w:p w14:paraId="6A715070" w14:textId="77777777" w:rsidR="007F4FE3" w:rsidRDefault="007F4FE3" w:rsidP="00B13E1D">
      <w:pPr>
        <w:spacing w:line="240" w:lineRule="auto"/>
        <w:rPr>
          <w:rFonts w:cs="Times New Roman"/>
          <w:b/>
          <w:sz w:val="24"/>
          <w:szCs w:val="24"/>
        </w:rPr>
      </w:pPr>
    </w:p>
    <w:p w14:paraId="109C8FFE" w14:textId="30D7167B" w:rsidR="000247A1" w:rsidRDefault="00623A8A" w:rsidP="00B13E1D">
      <w:pPr>
        <w:spacing w:line="240" w:lineRule="auto"/>
        <w:rPr>
          <w:rFonts w:cs="Times New Roman"/>
          <w:b/>
          <w:sz w:val="24"/>
          <w:szCs w:val="24"/>
        </w:rPr>
      </w:pPr>
      <w:r w:rsidRPr="00623A8A">
        <w:rPr>
          <w:rFonts w:cs="Times New Roman"/>
          <w:b/>
          <w:sz w:val="24"/>
          <w:szCs w:val="24"/>
        </w:rPr>
        <w:lastRenderedPageBreak/>
        <w:t>METODOLOGÍA</w:t>
      </w:r>
    </w:p>
    <w:p w14:paraId="1827CFFA" w14:textId="77777777" w:rsidR="007F4FE3" w:rsidRDefault="007F4FE3" w:rsidP="00252475">
      <w:pPr>
        <w:spacing w:before="0" w:after="0" w:line="240" w:lineRule="auto"/>
        <w:ind w:firstLine="567"/>
        <w:rPr>
          <w:rFonts w:cs="Times New Roman"/>
          <w:sz w:val="24"/>
          <w:szCs w:val="24"/>
        </w:rPr>
      </w:pPr>
    </w:p>
    <w:p w14:paraId="614CBFAA" w14:textId="0654E528" w:rsidR="000247A1" w:rsidRPr="00252475" w:rsidRDefault="00926F22" w:rsidP="00252475">
      <w:pPr>
        <w:spacing w:before="0" w:after="0" w:line="240" w:lineRule="auto"/>
        <w:ind w:firstLine="567"/>
        <w:rPr>
          <w:rFonts w:cs="Times New Roman"/>
          <w:sz w:val="24"/>
          <w:szCs w:val="24"/>
        </w:rPr>
      </w:pPr>
      <w:r w:rsidRPr="00252475">
        <w:rPr>
          <w:rFonts w:cs="Times New Roman"/>
          <w:sz w:val="24"/>
          <w:szCs w:val="24"/>
        </w:rPr>
        <w:t>Durante el levantamiento de suelos se realizó su identificación a partir de las características morfológicas derivadas del m</w:t>
      </w:r>
      <w:r w:rsidR="008E6AEB" w:rsidRPr="00252475">
        <w:rPr>
          <w:rFonts w:cs="Times New Roman"/>
          <w:sz w:val="24"/>
          <w:szCs w:val="24"/>
        </w:rPr>
        <w:t>arco</w:t>
      </w:r>
      <w:r w:rsidRPr="00252475">
        <w:rPr>
          <w:rFonts w:cs="Times New Roman"/>
          <w:sz w:val="24"/>
          <w:szCs w:val="24"/>
        </w:rPr>
        <w:t xml:space="preserve"> pedológico trabajado en oficina, en el cual se programaron al menos tres observaciones por unidad delimitada; se realizó la toma de muestras de suelos de 55 perfiles de suelos que fueron procesadas en el Laboratorio Nacional de Suelos del Instituto Geográfico Agustín Codazzi; la distribución de los suelos se obtuvo a nivel detallado, cuya publicación se realizó a escala 1:10.000, de la cual se generó una capa digitalizada en formato </w:t>
      </w:r>
      <w:proofErr w:type="spellStart"/>
      <w:r w:rsidRPr="00252475">
        <w:rPr>
          <w:rFonts w:cs="Times New Roman"/>
          <w:sz w:val="24"/>
          <w:szCs w:val="24"/>
        </w:rPr>
        <w:t>shapefile</w:t>
      </w:r>
      <w:proofErr w:type="spellEnd"/>
      <w:r w:rsidRPr="00252475">
        <w:rPr>
          <w:rFonts w:cs="Times New Roman"/>
          <w:sz w:val="24"/>
          <w:szCs w:val="24"/>
        </w:rPr>
        <w:t xml:space="preserve"> con su correspondiente base de datos e información de suelos. El levantamiento de suelos se realizó más allá del límite de parte aguas de la microcuenca Barbillas localizada en el departamento de Huila (IGAC, 2018). La clasificación taxonómica de los perfiles de suelos se realizó hasta nivel de familia (USDA, 2014), </w:t>
      </w:r>
      <w:r w:rsidR="000A4240" w:rsidRPr="00252475">
        <w:rPr>
          <w:rFonts w:cs="Times New Roman"/>
          <w:sz w:val="24"/>
          <w:szCs w:val="24"/>
        </w:rPr>
        <w:t>estos</w:t>
      </w:r>
      <w:r w:rsidR="008E6AEB" w:rsidRPr="00252475">
        <w:rPr>
          <w:rFonts w:cs="Times New Roman"/>
          <w:sz w:val="24"/>
          <w:szCs w:val="24"/>
        </w:rPr>
        <w:t xml:space="preserve"> suelos</w:t>
      </w:r>
      <w:r w:rsidRPr="00252475">
        <w:rPr>
          <w:rFonts w:cs="Times New Roman"/>
          <w:sz w:val="24"/>
          <w:szCs w:val="24"/>
        </w:rPr>
        <w:t xml:space="preserve"> predominantemente son de orden taxonómico </w:t>
      </w:r>
      <w:r w:rsidR="008B27DA" w:rsidRPr="00252475">
        <w:rPr>
          <w:rFonts w:cs="Times New Roman"/>
          <w:sz w:val="24"/>
          <w:szCs w:val="24"/>
        </w:rPr>
        <w:t>M</w:t>
      </w:r>
      <w:r w:rsidRPr="00252475">
        <w:rPr>
          <w:rFonts w:cs="Times New Roman"/>
          <w:sz w:val="24"/>
          <w:szCs w:val="24"/>
        </w:rPr>
        <w:t xml:space="preserve">olisol e </w:t>
      </w:r>
      <w:proofErr w:type="spellStart"/>
      <w:r w:rsidR="008B27DA" w:rsidRPr="00252475">
        <w:rPr>
          <w:rFonts w:cs="Times New Roman"/>
          <w:sz w:val="24"/>
          <w:szCs w:val="24"/>
        </w:rPr>
        <w:t>I</w:t>
      </w:r>
      <w:r w:rsidRPr="00252475">
        <w:rPr>
          <w:rFonts w:cs="Times New Roman"/>
          <w:sz w:val="24"/>
          <w:szCs w:val="24"/>
        </w:rPr>
        <w:t>nceptisol</w:t>
      </w:r>
      <w:proofErr w:type="spellEnd"/>
      <w:r w:rsidRPr="00252475">
        <w:rPr>
          <w:rFonts w:cs="Times New Roman"/>
          <w:sz w:val="24"/>
          <w:szCs w:val="24"/>
        </w:rPr>
        <w:t xml:space="preserve"> con el 88% del área de la microcuenca, y en menores proporciones suelos de los órdenes </w:t>
      </w:r>
      <w:proofErr w:type="spellStart"/>
      <w:r w:rsidR="008B27DA" w:rsidRPr="00252475">
        <w:rPr>
          <w:rFonts w:cs="Times New Roman"/>
          <w:sz w:val="24"/>
          <w:szCs w:val="24"/>
        </w:rPr>
        <w:t>E</w:t>
      </w:r>
      <w:r w:rsidRPr="00252475">
        <w:rPr>
          <w:rFonts w:cs="Times New Roman"/>
          <w:sz w:val="24"/>
          <w:szCs w:val="24"/>
        </w:rPr>
        <w:t>ntisol</w:t>
      </w:r>
      <w:proofErr w:type="spellEnd"/>
      <w:r w:rsidRPr="00252475">
        <w:rPr>
          <w:rFonts w:cs="Times New Roman"/>
          <w:sz w:val="24"/>
          <w:szCs w:val="24"/>
        </w:rPr>
        <w:t xml:space="preserve">, </w:t>
      </w:r>
      <w:proofErr w:type="spellStart"/>
      <w:r w:rsidR="008B27DA" w:rsidRPr="00252475">
        <w:rPr>
          <w:rFonts w:cs="Times New Roman"/>
          <w:sz w:val="24"/>
          <w:szCs w:val="24"/>
        </w:rPr>
        <w:t>A</w:t>
      </w:r>
      <w:r w:rsidRPr="00252475">
        <w:rPr>
          <w:rFonts w:cs="Times New Roman"/>
          <w:sz w:val="24"/>
          <w:szCs w:val="24"/>
        </w:rPr>
        <w:t>ndisol</w:t>
      </w:r>
      <w:proofErr w:type="spellEnd"/>
      <w:r w:rsidRPr="00252475">
        <w:rPr>
          <w:rFonts w:cs="Times New Roman"/>
          <w:sz w:val="24"/>
          <w:szCs w:val="24"/>
        </w:rPr>
        <w:t xml:space="preserve"> y </w:t>
      </w:r>
      <w:proofErr w:type="spellStart"/>
      <w:r w:rsidR="008B27DA" w:rsidRPr="00252475">
        <w:rPr>
          <w:rFonts w:cs="Times New Roman"/>
          <w:sz w:val="24"/>
          <w:szCs w:val="24"/>
        </w:rPr>
        <w:t>V</w:t>
      </w:r>
      <w:r w:rsidRPr="00252475">
        <w:rPr>
          <w:rFonts w:cs="Times New Roman"/>
          <w:sz w:val="24"/>
          <w:szCs w:val="24"/>
        </w:rPr>
        <w:t>ertisol</w:t>
      </w:r>
      <w:proofErr w:type="spellEnd"/>
      <w:r w:rsidRPr="00252475">
        <w:rPr>
          <w:rFonts w:cs="Times New Roman"/>
          <w:sz w:val="24"/>
          <w:szCs w:val="24"/>
        </w:rPr>
        <w:t>.</w:t>
      </w:r>
    </w:p>
    <w:p w14:paraId="2BE5D7D0" w14:textId="7670ACF4" w:rsidR="00E36B93" w:rsidRPr="00252475" w:rsidRDefault="00D06E39" w:rsidP="00252475">
      <w:pPr>
        <w:spacing w:before="0" w:after="0" w:line="240" w:lineRule="auto"/>
        <w:ind w:firstLine="567"/>
        <w:rPr>
          <w:rFonts w:cs="Times New Roman"/>
          <w:sz w:val="24"/>
          <w:szCs w:val="24"/>
        </w:rPr>
      </w:pPr>
      <w:r w:rsidRPr="00252475">
        <w:rPr>
          <w:rFonts w:cs="Times New Roman"/>
          <w:sz w:val="24"/>
          <w:szCs w:val="24"/>
        </w:rPr>
        <w:t xml:space="preserve">La metodología aplicada </w:t>
      </w:r>
      <w:r w:rsidR="00E93DEA" w:rsidRPr="00252475">
        <w:rPr>
          <w:rFonts w:cs="Times New Roman"/>
          <w:sz w:val="24"/>
          <w:szCs w:val="24"/>
        </w:rPr>
        <w:t xml:space="preserve">comienza con la variable más general pero determinante que es la delimitación del clima ambiental para la escala </w:t>
      </w:r>
      <w:proofErr w:type="spellStart"/>
      <w:r w:rsidR="00E93DEA" w:rsidRPr="00252475">
        <w:rPr>
          <w:rFonts w:cs="Times New Roman"/>
          <w:sz w:val="24"/>
          <w:szCs w:val="24"/>
        </w:rPr>
        <w:t>semidetallada</w:t>
      </w:r>
      <w:proofErr w:type="spellEnd"/>
      <w:r w:rsidR="00E93DEA" w:rsidRPr="00252475">
        <w:rPr>
          <w:rFonts w:cs="Times New Roman"/>
          <w:sz w:val="24"/>
          <w:szCs w:val="24"/>
        </w:rPr>
        <w:t>, luego se</w:t>
      </w:r>
      <w:r w:rsidRPr="00252475">
        <w:rPr>
          <w:rFonts w:cs="Times New Roman"/>
          <w:sz w:val="24"/>
          <w:szCs w:val="24"/>
        </w:rPr>
        <w:t xml:space="preserve"> identifica</w:t>
      </w:r>
      <w:r w:rsidR="00E93DEA" w:rsidRPr="00252475">
        <w:rPr>
          <w:rFonts w:cs="Times New Roman"/>
          <w:sz w:val="24"/>
          <w:szCs w:val="24"/>
        </w:rPr>
        <w:t>ron</w:t>
      </w:r>
      <w:r w:rsidRPr="00252475">
        <w:rPr>
          <w:rFonts w:cs="Times New Roman"/>
          <w:sz w:val="24"/>
          <w:szCs w:val="24"/>
        </w:rPr>
        <w:t xml:space="preserve"> las variables del suelo que de</w:t>
      </w:r>
      <w:r w:rsidR="00D72749" w:rsidRPr="00252475">
        <w:rPr>
          <w:rFonts w:cs="Times New Roman"/>
          <w:sz w:val="24"/>
          <w:szCs w:val="24"/>
        </w:rPr>
        <w:t>finen</w:t>
      </w:r>
      <w:r w:rsidRPr="00252475">
        <w:rPr>
          <w:rFonts w:cs="Times New Roman"/>
          <w:sz w:val="24"/>
          <w:szCs w:val="24"/>
        </w:rPr>
        <w:t xml:space="preserve"> la capacidad de almacenamiento de agua</w:t>
      </w:r>
      <w:r w:rsidR="00E93DEA" w:rsidRPr="00252475">
        <w:rPr>
          <w:rFonts w:cs="Times New Roman"/>
          <w:sz w:val="24"/>
          <w:szCs w:val="24"/>
        </w:rPr>
        <w:t xml:space="preserve"> en el suelo, se tomaron como referencia las mismas tablas de reclasificación de la disponibilidad de agua para los cultivos</w:t>
      </w:r>
      <w:r w:rsidR="00492208" w:rsidRPr="00252475">
        <w:rPr>
          <w:rFonts w:cs="Times New Roman"/>
          <w:sz w:val="24"/>
          <w:szCs w:val="24"/>
        </w:rPr>
        <w:t xml:space="preserve"> de clases agrológicas o uso potencial</w:t>
      </w:r>
      <w:r w:rsidR="007E2BB3" w:rsidRPr="00252475">
        <w:rPr>
          <w:rFonts w:cs="Times New Roman"/>
          <w:sz w:val="24"/>
          <w:szCs w:val="24"/>
        </w:rPr>
        <w:t xml:space="preserve"> (IGAC, 2014)</w:t>
      </w:r>
      <w:r w:rsidR="00E93DEA" w:rsidRPr="00252475">
        <w:rPr>
          <w:rFonts w:cs="Times New Roman"/>
          <w:sz w:val="24"/>
          <w:szCs w:val="24"/>
        </w:rPr>
        <w:t xml:space="preserve"> y se establecieron los parámetros de agua suficiente y deficiente en términos de </w:t>
      </w:r>
      <w:r w:rsidR="00492208" w:rsidRPr="00252475">
        <w:rPr>
          <w:rFonts w:cs="Times New Roman"/>
          <w:sz w:val="24"/>
          <w:szCs w:val="24"/>
        </w:rPr>
        <w:t>porcentaje de almacenamiento de agua en el suelo</w:t>
      </w:r>
      <w:r w:rsidR="00E93DEA" w:rsidRPr="00252475">
        <w:rPr>
          <w:rFonts w:cs="Times New Roman"/>
          <w:sz w:val="24"/>
          <w:szCs w:val="24"/>
        </w:rPr>
        <w:t>.</w:t>
      </w:r>
    </w:p>
    <w:p w14:paraId="2E8C8284" w14:textId="64230EFB" w:rsidR="00A64A0F" w:rsidRPr="00252475" w:rsidRDefault="00E93DEA" w:rsidP="00252475">
      <w:pPr>
        <w:spacing w:before="0" w:after="0" w:line="240" w:lineRule="auto"/>
        <w:ind w:firstLine="567"/>
        <w:rPr>
          <w:rFonts w:cs="Times New Roman"/>
          <w:sz w:val="24"/>
          <w:szCs w:val="24"/>
        </w:rPr>
      </w:pPr>
      <w:r w:rsidRPr="00252475">
        <w:rPr>
          <w:rFonts w:cs="Times New Roman"/>
          <w:sz w:val="24"/>
          <w:szCs w:val="24"/>
        </w:rPr>
        <w:t>En cuanto a las aguas de esc</w:t>
      </w:r>
      <w:r w:rsidR="00492208" w:rsidRPr="00252475">
        <w:rPr>
          <w:rFonts w:cs="Times New Roman"/>
          <w:sz w:val="24"/>
          <w:szCs w:val="24"/>
        </w:rPr>
        <w:t>o</w:t>
      </w:r>
      <w:r w:rsidRPr="00252475">
        <w:rPr>
          <w:rFonts w:cs="Times New Roman"/>
          <w:sz w:val="24"/>
          <w:szCs w:val="24"/>
        </w:rPr>
        <w:t>r</w:t>
      </w:r>
      <w:r w:rsidR="00492208" w:rsidRPr="00252475">
        <w:rPr>
          <w:rFonts w:cs="Times New Roman"/>
          <w:sz w:val="24"/>
          <w:szCs w:val="24"/>
        </w:rPr>
        <w:t xml:space="preserve">rentía </w:t>
      </w:r>
      <w:r w:rsidR="007E2BB3" w:rsidRPr="00252475">
        <w:rPr>
          <w:rFonts w:cs="Times New Roman"/>
          <w:sz w:val="24"/>
          <w:szCs w:val="24"/>
        </w:rPr>
        <w:t>promedio</w:t>
      </w:r>
      <w:r w:rsidRPr="00252475">
        <w:rPr>
          <w:rFonts w:cs="Times New Roman"/>
          <w:sz w:val="24"/>
          <w:szCs w:val="24"/>
        </w:rPr>
        <w:t xml:space="preserve"> se utilizaron datos del Estudio Nacional del Agua IDEAM (2014) en formato </w:t>
      </w:r>
      <w:proofErr w:type="spellStart"/>
      <w:r w:rsidRPr="00252475">
        <w:rPr>
          <w:rFonts w:cs="Times New Roman"/>
          <w:sz w:val="24"/>
          <w:szCs w:val="24"/>
        </w:rPr>
        <w:t>raster</w:t>
      </w:r>
      <w:proofErr w:type="spellEnd"/>
      <w:r w:rsidRPr="00252475">
        <w:rPr>
          <w:rFonts w:cs="Times New Roman"/>
          <w:sz w:val="24"/>
          <w:szCs w:val="24"/>
        </w:rPr>
        <w:t xml:space="preserve"> y esto</w:t>
      </w:r>
      <w:r w:rsidR="008F5FFC" w:rsidRPr="00252475">
        <w:rPr>
          <w:rFonts w:cs="Times New Roman"/>
          <w:sz w:val="24"/>
          <w:szCs w:val="24"/>
        </w:rPr>
        <w:t>s</w:t>
      </w:r>
      <w:r w:rsidRPr="00252475">
        <w:rPr>
          <w:rFonts w:cs="Times New Roman"/>
          <w:sz w:val="24"/>
          <w:szCs w:val="24"/>
        </w:rPr>
        <w:t xml:space="preserve"> datos se </w:t>
      </w:r>
      <w:r w:rsidR="008F5FFC" w:rsidRPr="00252475">
        <w:rPr>
          <w:rFonts w:cs="Times New Roman"/>
          <w:sz w:val="24"/>
          <w:szCs w:val="24"/>
        </w:rPr>
        <w:t>ajustaron con los parámetros de los ramales hídricos que determinan la información sectorizada de la escorrentía</w:t>
      </w:r>
      <w:r w:rsidR="00D72749" w:rsidRPr="00252475">
        <w:rPr>
          <w:rFonts w:cs="Times New Roman"/>
          <w:sz w:val="24"/>
          <w:szCs w:val="24"/>
        </w:rPr>
        <w:t xml:space="preserve">, por medio de los parámetros establecidos para </w:t>
      </w:r>
      <w:r w:rsidR="00A64A0F" w:rsidRPr="00252475">
        <w:rPr>
          <w:rFonts w:cs="Times New Roman"/>
          <w:sz w:val="24"/>
          <w:szCs w:val="24"/>
        </w:rPr>
        <w:t>c</w:t>
      </w:r>
      <w:r w:rsidR="00D72749" w:rsidRPr="00252475">
        <w:rPr>
          <w:rFonts w:cs="Times New Roman"/>
          <w:sz w:val="24"/>
          <w:szCs w:val="24"/>
        </w:rPr>
        <w:t>atastro se clasificó la disponibilidad de agua superficial</w:t>
      </w:r>
      <w:r w:rsidR="00492208" w:rsidRPr="00252475">
        <w:rPr>
          <w:rFonts w:cs="Times New Roman"/>
          <w:sz w:val="24"/>
          <w:szCs w:val="24"/>
        </w:rPr>
        <w:t xml:space="preserve"> </w:t>
      </w:r>
      <w:r w:rsidR="008E6AEB" w:rsidRPr="00252475">
        <w:rPr>
          <w:rFonts w:cs="Times New Roman"/>
          <w:sz w:val="24"/>
          <w:szCs w:val="24"/>
        </w:rPr>
        <w:t xml:space="preserve"> a escala 1:25.000 </w:t>
      </w:r>
      <w:r w:rsidR="00492208" w:rsidRPr="00252475">
        <w:rPr>
          <w:rFonts w:cs="Times New Roman"/>
          <w:sz w:val="24"/>
          <w:szCs w:val="24"/>
        </w:rPr>
        <w:t xml:space="preserve">para tomarlo como un marco </w:t>
      </w:r>
      <w:r w:rsidR="007E2BB3" w:rsidRPr="00252475">
        <w:rPr>
          <w:rFonts w:cs="Times New Roman"/>
          <w:sz w:val="24"/>
          <w:szCs w:val="24"/>
        </w:rPr>
        <w:t xml:space="preserve">de </w:t>
      </w:r>
      <w:r w:rsidR="00492208" w:rsidRPr="00252475">
        <w:rPr>
          <w:rFonts w:cs="Times New Roman"/>
          <w:sz w:val="24"/>
          <w:szCs w:val="24"/>
        </w:rPr>
        <w:t>referenci</w:t>
      </w:r>
      <w:r w:rsidR="007E2BB3" w:rsidRPr="00252475">
        <w:rPr>
          <w:rFonts w:cs="Times New Roman"/>
          <w:sz w:val="24"/>
          <w:szCs w:val="24"/>
        </w:rPr>
        <w:t>a</w:t>
      </w:r>
      <w:r w:rsidR="00492208" w:rsidRPr="00252475">
        <w:rPr>
          <w:rFonts w:cs="Times New Roman"/>
          <w:sz w:val="24"/>
          <w:szCs w:val="24"/>
        </w:rPr>
        <w:t xml:space="preserve"> </w:t>
      </w:r>
      <w:r w:rsidR="007E2BB3" w:rsidRPr="00252475">
        <w:rPr>
          <w:rFonts w:cs="Times New Roman"/>
          <w:sz w:val="24"/>
          <w:szCs w:val="24"/>
        </w:rPr>
        <w:t>con el que se</w:t>
      </w:r>
      <w:r w:rsidR="00492208" w:rsidRPr="00252475">
        <w:rPr>
          <w:rFonts w:cs="Times New Roman"/>
          <w:sz w:val="24"/>
          <w:szCs w:val="24"/>
        </w:rPr>
        <w:t xml:space="preserve"> compara</w:t>
      </w:r>
      <w:r w:rsidR="007E2BB3" w:rsidRPr="00252475">
        <w:rPr>
          <w:rFonts w:cs="Times New Roman"/>
          <w:sz w:val="24"/>
          <w:szCs w:val="24"/>
        </w:rPr>
        <w:t xml:space="preserve"> la propuesta de ingreso de la capacidad de almacenamiento en la definición de las clases agrológicas</w:t>
      </w:r>
      <w:r w:rsidR="008E6AEB" w:rsidRPr="00252475">
        <w:rPr>
          <w:rFonts w:cs="Times New Roman"/>
          <w:sz w:val="24"/>
          <w:szCs w:val="24"/>
        </w:rPr>
        <w:t xml:space="preserve"> a la escala 1:10.000</w:t>
      </w:r>
      <w:r w:rsidR="00A64A0F" w:rsidRPr="00252475">
        <w:rPr>
          <w:rFonts w:cs="Times New Roman"/>
          <w:sz w:val="24"/>
          <w:szCs w:val="24"/>
        </w:rPr>
        <w:t>.</w:t>
      </w:r>
    </w:p>
    <w:p w14:paraId="756315FF" w14:textId="1DC33312" w:rsidR="00E93DEA" w:rsidRPr="00252475" w:rsidRDefault="00A64A0F" w:rsidP="00252475">
      <w:pPr>
        <w:spacing w:before="0" w:after="0" w:line="240" w:lineRule="auto"/>
        <w:ind w:firstLine="567"/>
        <w:rPr>
          <w:rFonts w:cs="Times New Roman"/>
          <w:sz w:val="24"/>
          <w:szCs w:val="24"/>
        </w:rPr>
      </w:pPr>
      <w:r w:rsidRPr="00252475">
        <w:rPr>
          <w:rFonts w:cs="Times New Roman"/>
          <w:sz w:val="24"/>
          <w:szCs w:val="24"/>
        </w:rPr>
        <w:t xml:space="preserve">Para matizar la información se realizó el procedimiento para evaluar la capacidad de almacenamiento de agua y observar su comportamiento en un año normal en comparación con dos eventos climáticos extremos </w:t>
      </w:r>
      <w:r w:rsidR="00640192" w:rsidRPr="00252475">
        <w:rPr>
          <w:rFonts w:cs="Times New Roman"/>
          <w:sz w:val="24"/>
          <w:szCs w:val="24"/>
        </w:rPr>
        <w:t>denominad</w:t>
      </w:r>
      <w:r w:rsidRPr="00252475">
        <w:rPr>
          <w:rFonts w:cs="Times New Roman"/>
          <w:sz w:val="24"/>
          <w:szCs w:val="24"/>
        </w:rPr>
        <w:t>os fenómenos del niño y de la niña</w:t>
      </w:r>
      <w:r w:rsidR="00460F5B" w:rsidRPr="00252475">
        <w:rPr>
          <w:rFonts w:cs="Times New Roman"/>
          <w:sz w:val="24"/>
          <w:szCs w:val="24"/>
        </w:rPr>
        <w:t xml:space="preserve">. </w:t>
      </w:r>
      <w:r w:rsidR="008F5FFC" w:rsidRPr="00252475">
        <w:rPr>
          <w:rFonts w:cs="Times New Roman"/>
          <w:sz w:val="24"/>
          <w:szCs w:val="24"/>
        </w:rPr>
        <w:t xml:space="preserve"> </w:t>
      </w:r>
      <w:r w:rsidR="00E93DEA" w:rsidRPr="00252475">
        <w:rPr>
          <w:rFonts w:cs="Times New Roman"/>
          <w:sz w:val="24"/>
          <w:szCs w:val="24"/>
        </w:rPr>
        <w:t xml:space="preserve"> </w:t>
      </w:r>
    </w:p>
    <w:p w14:paraId="5435375C" w14:textId="3655DB2C" w:rsidR="00460F5B" w:rsidRPr="00252475" w:rsidRDefault="00460F5B" w:rsidP="00252475">
      <w:pPr>
        <w:spacing w:before="0" w:after="0" w:line="240" w:lineRule="auto"/>
        <w:ind w:firstLine="567"/>
        <w:rPr>
          <w:rFonts w:cs="Times New Roman"/>
          <w:sz w:val="24"/>
          <w:szCs w:val="24"/>
        </w:rPr>
      </w:pPr>
      <w:r w:rsidRPr="00252475">
        <w:rPr>
          <w:rFonts w:cs="Times New Roman"/>
          <w:sz w:val="24"/>
          <w:szCs w:val="24"/>
        </w:rPr>
        <w:t xml:space="preserve">Luego de esas modelaciones </w:t>
      </w:r>
      <w:r w:rsidR="00A712C8" w:rsidRPr="00252475">
        <w:rPr>
          <w:rFonts w:cs="Times New Roman"/>
          <w:sz w:val="24"/>
          <w:szCs w:val="24"/>
        </w:rPr>
        <w:t xml:space="preserve">de datos </w:t>
      </w:r>
      <w:r w:rsidRPr="00252475">
        <w:rPr>
          <w:rFonts w:cs="Times New Roman"/>
          <w:sz w:val="24"/>
          <w:szCs w:val="24"/>
        </w:rPr>
        <w:t>climatológic</w:t>
      </w:r>
      <w:r w:rsidR="00A712C8" w:rsidRPr="00252475">
        <w:rPr>
          <w:rFonts w:cs="Times New Roman"/>
          <w:sz w:val="24"/>
          <w:szCs w:val="24"/>
        </w:rPr>
        <w:t>os</w:t>
      </w:r>
      <w:r w:rsidRPr="00252475">
        <w:rPr>
          <w:rFonts w:cs="Times New Roman"/>
          <w:sz w:val="24"/>
          <w:szCs w:val="24"/>
        </w:rPr>
        <w:t xml:space="preserve"> se establecieron los cambios de disponibilidad de agua en tiempo normal, seco (</w:t>
      </w:r>
      <w:r w:rsidR="00BD1712" w:rsidRPr="00252475">
        <w:rPr>
          <w:rFonts w:cs="Times New Roman"/>
          <w:sz w:val="24"/>
          <w:szCs w:val="24"/>
        </w:rPr>
        <w:t>fenómeno del n</w:t>
      </w:r>
      <w:r w:rsidRPr="00252475">
        <w:rPr>
          <w:rFonts w:cs="Times New Roman"/>
          <w:sz w:val="24"/>
          <w:szCs w:val="24"/>
        </w:rPr>
        <w:t>iñ</w:t>
      </w:r>
      <w:r w:rsidR="00BD1712" w:rsidRPr="00252475">
        <w:rPr>
          <w:rFonts w:cs="Times New Roman"/>
          <w:sz w:val="24"/>
          <w:szCs w:val="24"/>
        </w:rPr>
        <w:t>o</w:t>
      </w:r>
      <w:r w:rsidRPr="00252475">
        <w:rPr>
          <w:rFonts w:cs="Times New Roman"/>
          <w:sz w:val="24"/>
          <w:szCs w:val="24"/>
        </w:rPr>
        <w:t>) y húmedo</w:t>
      </w:r>
      <w:r w:rsidR="00BD1712" w:rsidRPr="00252475">
        <w:rPr>
          <w:rFonts w:cs="Times New Roman"/>
          <w:sz w:val="24"/>
          <w:szCs w:val="24"/>
        </w:rPr>
        <w:t xml:space="preserve"> (fenómeno de la niña) para observar dos condiciones espaciales</w:t>
      </w:r>
      <w:r w:rsidR="00492208" w:rsidRPr="00252475">
        <w:rPr>
          <w:rFonts w:cs="Times New Roman"/>
          <w:sz w:val="24"/>
          <w:szCs w:val="24"/>
        </w:rPr>
        <w:t xml:space="preserve"> relacionadas con </w:t>
      </w:r>
      <w:r w:rsidR="00A712C8" w:rsidRPr="00252475">
        <w:rPr>
          <w:rFonts w:cs="Times New Roman"/>
          <w:sz w:val="24"/>
          <w:szCs w:val="24"/>
        </w:rPr>
        <w:t>la variación</w:t>
      </w:r>
      <w:r w:rsidR="00492208" w:rsidRPr="00252475">
        <w:rPr>
          <w:rFonts w:cs="Times New Roman"/>
          <w:sz w:val="24"/>
          <w:szCs w:val="24"/>
        </w:rPr>
        <w:t xml:space="preserve"> de agua almacenada en el suelo, por un lado</w:t>
      </w:r>
      <w:r w:rsidR="00BD1712" w:rsidRPr="00252475">
        <w:rPr>
          <w:rFonts w:cs="Times New Roman"/>
          <w:sz w:val="24"/>
          <w:szCs w:val="24"/>
        </w:rPr>
        <w:t xml:space="preserve"> </w:t>
      </w:r>
      <w:r w:rsidR="007E2BB3" w:rsidRPr="00252475">
        <w:rPr>
          <w:rFonts w:cs="Times New Roman"/>
          <w:sz w:val="24"/>
          <w:szCs w:val="24"/>
        </w:rPr>
        <w:t>se identifica</w:t>
      </w:r>
      <w:r w:rsidR="00A712C8" w:rsidRPr="00252475">
        <w:rPr>
          <w:rFonts w:cs="Times New Roman"/>
          <w:sz w:val="24"/>
          <w:szCs w:val="24"/>
        </w:rPr>
        <w:t>ro</w:t>
      </w:r>
      <w:r w:rsidR="007E2BB3" w:rsidRPr="00252475">
        <w:rPr>
          <w:rFonts w:cs="Times New Roman"/>
          <w:sz w:val="24"/>
          <w:szCs w:val="24"/>
        </w:rPr>
        <w:t xml:space="preserve">n </w:t>
      </w:r>
      <w:r w:rsidR="00BD1712" w:rsidRPr="00252475">
        <w:rPr>
          <w:rFonts w:cs="Times New Roman"/>
          <w:sz w:val="24"/>
          <w:szCs w:val="24"/>
        </w:rPr>
        <w:t xml:space="preserve">los riesgos de remoción en masa </w:t>
      </w:r>
      <w:r w:rsidR="007E2BB3" w:rsidRPr="00252475">
        <w:rPr>
          <w:rFonts w:cs="Times New Roman"/>
          <w:sz w:val="24"/>
          <w:szCs w:val="24"/>
        </w:rPr>
        <w:t xml:space="preserve">de algunos sectores de la cuenca de la quebrada Barbillas </w:t>
      </w:r>
      <w:r w:rsidR="00BD1712" w:rsidRPr="00252475">
        <w:rPr>
          <w:rFonts w:cs="Times New Roman"/>
          <w:sz w:val="24"/>
          <w:szCs w:val="24"/>
        </w:rPr>
        <w:t xml:space="preserve">en tiempos húmedos </w:t>
      </w:r>
      <w:r w:rsidR="00A712C8" w:rsidRPr="00252475">
        <w:rPr>
          <w:rFonts w:cs="Times New Roman"/>
          <w:sz w:val="24"/>
          <w:szCs w:val="24"/>
        </w:rPr>
        <w:t xml:space="preserve">y </w:t>
      </w:r>
      <w:r w:rsidR="00BD1712" w:rsidRPr="00252475">
        <w:rPr>
          <w:rFonts w:cs="Times New Roman"/>
          <w:sz w:val="24"/>
          <w:szCs w:val="24"/>
        </w:rPr>
        <w:t>cuando</w:t>
      </w:r>
      <w:r w:rsidR="00492208" w:rsidRPr="00252475">
        <w:rPr>
          <w:rFonts w:cs="Times New Roman"/>
          <w:sz w:val="24"/>
          <w:szCs w:val="24"/>
        </w:rPr>
        <w:t xml:space="preserve"> el suelo</w:t>
      </w:r>
      <w:r w:rsidR="00BD1712" w:rsidRPr="00252475">
        <w:rPr>
          <w:rFonts w:cs="Times New Roman"/>
          <w:sz w:val="24"/>
          <w:szCs w:val="24"/>
        </w:rPr>
        <w:t xml:space="preserve"> supera el límite líquido y </w:t>
      </w:r>
      <w:r w:rsidR="007E2BB3" w:rsidRPr="00252475">
        <w:rPr>
          <w:rFonts w:cs="Times New Roman"/>
          <w:sz w:val="24"/>
          <w:szCs w:val="24"/>
        </w:rPr>
        <w:t xml:space="preserve">también </w:t>
      </w:r>
      <w:r w:rsidR="00492208" w:rsidRPr="00252475">
        <w:rPr>
          <w:rFonts w:cs="Times New Roman"/>
          <w:sz w:val="24"/>
          <w:szCs w:val="24"/>
        </w:rPr>
        <w:t xml:space="preserve">para identificar </w:t>
      </w:r>
      <w:r w:rsidR="00BD1712" w:rsidRPr="00252475">
        <w:rPr>
          <w:rFonts w:cs="Times New Roman"/>
          <w:sz w:val="24"/>
          <w:szCs w:val="24"/>
        </w:rPr>
        <w:t xml:space="preserve">los sectores con mayor déficit de agua en </w:t>
      </w:r>
      <w:r w:rsidR="007E2BB3" w:rsidRPr="00252475">
        <w:rPr>
          <w:rFonts w:cs="Times New Roman"/>
          <w:sz w:val="24"/>
          <w:szCs w:val="24"/>
        </w:rPr>
        <w:t xml:space="preserve">los períodos </w:t>
      </w:r>
      <w:r w:rsidR="00BD1712" w:rsidRPr="00252475">
        <w:rPr>
          <w:rFonts w:cs="Times New Roman"/>
          <w:sz w:val="24"/>
          <w:szCs w:val="24"/>
        </w:rPr>
        <w:t>seco</w:t>
      </w:r>
      <w:r w:rsidR="007E2BB3" w:rsidRPr="00252475">
        <w:rPr>
          <w:rFonts w:cs="Times New Roman"/>
          <w:sz w:val="24"/>
          <w:szCs w:val="24"/>
        </w:rPr>
        <w:t>s</w:t>
      </w:r>
      <w:r w:rsidR="00640192" w:rsidRPr="00252475">
        <w:rPr>
          <w:rFonts w:cs="Times New Roman"/>
          <w:sz w:val="24"/>
          <w:szCs w:val="24"/>
        </w:rPr>
        <w:t>;</w:t>
      </w:r>
      <w:r w:rsidR="00BD1712" w:rsidRPr="00252475">
        <w:rPr>
          <w:rFonts w:cs="Times New Roman"/>
          <w:sz w:val="24"/>
          <w:szCs w:val="24"/>
        </w:rPr>
        <w:t xml:space="preserve"> </w:t>
      </w:r>
      <w:r w:rsidR="00640192" w:rsidRPr="00252475">
        <w:rPr>
          <w:rFonts w:cs="Times New Roman"/>
          <w:sz w:val="24"/>
          <w:szCs w:val="24"/>
        </w:rPr>
        <w:t>c</w:t>
      </w:r>
      <w:r w:rsidR="00BD1712" w:rsidRPr="00252475">
        <w:rPr>
          <w:rFonts w:cs="Times New Roman"/>
          <w:sz w:val="24"/>
          <w:szCs w:val="24"/>
        </w:rPr>
        <w:t>on base en el año normal se revisaron las clases agrol</w:t>
      </w:r>
      <w:r w:rsidR="00640192" w:rsidRPr="00252475">
        <w:rPr>
          <w:rFonts w:cs="Times New Roman"/>
          <w:sz w:val="24"/>
          <w:szCs w:val="24"/>
        </w:rPr>
        <w:t>ó</w:t>
      </w:r>
      <w:r w:rsidR="00BD1712" w:rsidRPr="00252475">
        <w:rPr>
          <w:rFonts w:cs="Times New Roman"/>
          <w:sz w:val="24"/>
          <w:szCs w:val="24"/>
        </w:rPr>
        <w:t>gica</w:t>
      </w:r>
      <w:r w:rsidR="00640192" w:rsidRPr="00252475">
        <w:rPr>
          <w:rFonts w:cs="Times New Roman"/>
          <w:sz w:val="24"/>
          <w:szCs w:val="24"/>
        </w:rPr>
        <w:t>s</w:t>
      </w:r>
      <w:r w:rsidR="00BD1712" w:rsidRPr="00252475">
        <w:rPr>
          <w:rFonts w:cs="Times New Roman"/>
          <w:sz w:val="24"/>
          <w:szCs w:val="24"/>
        </w:rPr>
        <w:t xml:space="preserve"> y su incidencia </w:t>
      </w:r>
      <w:r w:rsidR="00640192" w:rsidRPr="00252475">
        <w:rPr>
          <w:rFonts w:cs="Times New Roman"/>
          <w:sz w:val="24"/>
          <w:szCs w:val="24"/>
        </w:rPr>
        <w:t xml:space="preserve">en la clasificación de disponibilidad de agua en el suelo </w:t>
      </w:r>
      <w:r w:rsidR="00BD1712" w:rsidRPr="00252475">
        <w:rPr>
          <w:rFonts w:cs="Times New Roman"/>
          <w:sz w:val="24"/>
          <w:szCs w:val="24"/>
        </w:rPr>
        <w:t>según el</w:t>
      </w:r>
      <w:r w:rsidR="00640192" w:rsidRPr="00252475">
        <w:rPr>
          <w:rFonts w:cs="Times New Roman"/>
          <w:sz w:val="24"/>
          <w:szCs w:val="24"/>
        </w:rPr>
        <w:t xml:space="preserve"> nuevo </w:t>
      </w:r>
      <w:r w:rsidR="00BD1712" w:rsidRPr="00252475">
        <w:rPr>
          <w:rFonts w:cs="Times New Roman"/>
          <w:sz w:val="24"/>
          <w:szCs w:val="24"/>
        </w:rPr>
        <w:t>procedimiento</w:t>
      </w:r>
      <w:r w:rsidR="00640192" w:rsidRPr="00252475">
        <w:rPr>
          <w:rFonts w:cs="Times New Roman"/>
          <w:sz w:val="24"/>
          <w:szCs w:val="24"/>
        </w:rPr>
        <w:t>.</w:t>
      </w:r>
    </w:p>
    <w:p w14:paraId="2B60CB6A" w14:textId="6DA11467" w:rsidR="00492208" w:rsidRDefault="00492208" w:rsidP="00252475">
      <w:pPr>
        <w:spacing w:before="0" w:after="0" w:line="240" w:lineRule="auto"/>
        <w:ind w:firstLine="567"/>
        <w:rPr>
          <w:rFonts w:cs="Times New Roman"/>
          <w:sz w:val="24"/>
          <w:szCs w:val="24"/>
        </w:rPr>
      </w:pPr>
      <w:r w:rsidRPr="00252475">
        <w:rPr>
          <w:rFonts w:cs="Times New Roman"/>
          <w:sz w:val="24"/>
          <w:szCs w:val="24"/>
        </w:rPr>
        <w:t xml:space="preserve">La metodología </w:t>
      </w:r>
      <w:r w:rsidR="00640192" w:rsidRPr="00252475">
        <w:rPr>
          <w:rFonts w:cs="Times New Roman"/>
          <w:sz w:val="24"/>
          <w:szCs w:val="24"/>
        </w:rPr>
        <w:t>aplicad</w:t>
      </w:r>
      <w:r w:rsidRPr="00252475">
        <w:rPr>
          <w:rFonts w:cs="Times New Roman"/>
          <w:sz w:val="24"/>
          <w:szCs w:val="24"/>
        </w:rPr>
        <w:t xml:space="preserve">a </w:t>
      </w:r>
      <w:r w:rsidR="00640192" w:rsidRPr="00252475">
        <w:rPr>
          <w:rFonts w:cs="Times New Roman"/>
          <w:sz w:val="24"/>
          <w:szCs w:val="24"/>
        </w:rPr>
        <w:t xml:space="preserve">en el desarrollo </w:t>
      </w:r>
      <w:r w:rsidRPr="00252475">
        <w:rPr>
          <w:rFonts w:cs="Times New Roman"/>
          <w:sz w:val="24"/>
          <w:szCs w:val="24"/>
        </w:rPr>
        <w:t xml:space="preserve">de la investigación </w:t>
      </w:r>
      <w:r w:rsidR="00640192" w:rsidRPr="00252475">
        <w:rPr>
          <w:rFonts w:cs="Times New Roman"/>
          <w:sz w:val="24"/>
          <w:szCs w:val="24"/>
        </w:rPr>
        <w:t>correspondió a</w:t>
      </w:r>
      <w:r w:rsidRPr="00252475">
        <w:rPr>
          <w:rFonts w:cs="Times New Roman"/>
          <w:sz w:val="24"/>
          <w:szCs w:val="24"/>
        </w:rPr>
        <w:t xml:space="preserve"> la</w:t>
      </w:r>
      <w:r w:rsidR="00640192" w:rsidRPr="00252475">
        <w:rPr>
          <w:rFonts w:cs="Times New Roman"/>
          <w:sz w:val="24"/>
          <w:szCs w:val="24"/>
        </w:rPr>
        <w:t xml:space="preserve"> comparativ</w:t>
      </w:r>
      <w:r w:rsidRPr="00252475">
        <w:rPr>
          <w:rFonts w:cs="Times New Roman"/>
          <w:sz w:val="24"/>
          <w:szCs w:val="24"/>
        </w:rPr>
        <w:t xml:space="preserve">a, en donde las características evaluadas se relacionan con la escala de información y representación y </w:t>
      </w:r>
      <w:r w:rsidR="00A712C8" w:rsidRPr="00252475">
        <w:rPr>
          <w:rFonts w:cs="Times New Roman"/>
          <w:sz w:val="24"/>
          <w:szCs w:val="24"/>
        </w:rPr>
        <w:t xml:space="preserve">con </w:t>
      </w:r>
      <w:r w:rsidRPr="00252475">
        <w:rPr>
          <w:rFonts w:cs="Times New Roman"/>
          <w:sz w:val="24"/>
          <w:szCs w:val="24"/>
        </w:rPr>
        <w:t>la variabilidad de la oferta de agua en relación con una variable permanente definida como la capacidad de almacenamiento de agua de los suelos a escala 1:</w:t>
      </w:r>
      <w:r w:rsidR="00A712C8" w:rsidRPr="00252475">
        <w:rPr>
          <w:rFonts w:cs="Times New Roman"/>
          <w:sz w:val="24"/>
          <w:szCs w:val="24"/>
        </w:rPr>
        <w:t>10</w:t>
      </w:r>
      <w:r w:rsidRPr="00252475">
        <w:rPr>
          <w:rFonts w:cs="Times New Roman"/>
          <w:sz w:val="24"/>
          <w:szCs w:val="24"/>
        </w:rPr>
        <w:t>.000.</w:t>
      </w:r>
    </w:p>
    <w:p w14:paraId="19D11E6F" w14:textId="77777777" w:rsidR="00252475" w:rsidRDefault="00252475" w:rsidP="00252475">
      <w:pPr>
        <w:spacing w:before="0" w:after="0" w:line="240" w:lineRule="auto"/>
        <w:ind w:firstLine="567"/>
        <w:rPr>
          <w:rFonts w:cs="Times New Roman"/>
          <w:sz w:val="24"/>
          <w:szCs w:val="24"/>
        </w:rPr>
      </w:pPr>
    </w:p>
    <w:p w14:paraId="402B9778" w14:textId="77777777" w:rsidR="00252475" w:rsidRDefault="00252475" w:rsidP="00252475">
      <w:pPr>
        <w:spacing w:before="0" w:after="0" w:line="240" w:lineRule="auto"/>
        <w:ind w:firstLine="567"/>
        <w:rPr>
          <w:rFonts w:cs="Times New Roman"/>
          <w:sz w:val="24"/>
          <w:szCs w:val="24"/>
        </w:rPr>
      </w:pPr>
    </w:p>
    <w:p w14:paraId="635EAC89" w14:textId="77777777" w:rsidR="00252475" w:rsidRDefault="00252475" w:rsidP="00252475">
      <w:pPr>
        <w:spacing w:before="0" w:after="0" w:line="240" w:lineRule="auto"/>
        <w:ind w:firstLine="567"/>
        <w:rPr>
          <w:rFonts w:cs="Times New Roman"/>
          <w:sz w:val="24"/>
          <w:szCs w:val="24"/>
        </w:rPr>
      </w:pPr>
    </w:p>
    <w:p w14:paraId="420DEAB9" w14:textId="77777777" w:rsidR="00252475" w:rsidRDefault="00252475" w:rsidP="00252475">
      <w:pPr>
        <w:spacing w:before="0" w:after="0" w:line="240" w:lineRule="auto"/>
        <w:ind w:firstLine="567"/>
        <w:rPr>
          <w:rFonts w:cs="Times New Roman"/>
          <w:sz w:val="24"/>
          <w:szCs w:val="24"/>
        </w:rPr>
      </w:pPr>
    </w:p>
    <w:p w14:paraId="4A626F5A" w14:textId="77777777" w:rsidR="007F4FE3" w:rsidRDefault="007F4FE3" w:rsidP="00252475">
      <w:pPr>
        <w:spacing w:before="0" w:after="0" w:line="240" w:lineRule="auto"/>
        <w:ind w:firstLine="567"/>
        <w:rPr>
          <w:rFonts w:cs="Times New Roman"/>
          <w:sz w:val="24"/>
          <w:szCs w:val="24"/>
        </w:rPr>
      </w:pPr>
    </w:p>
    <w:p w14:paraId="2AF284B7" w14:textId="77777777" w:rsidR="00252475" w:rsidRDefault="00252475" w:rsidP="00252475">
      <w:pPr>
        <w:spacing w:before="0" w:after="0" w:line="240" w:lineRule="auto"/>
        <w:ind w:firstLine="567"/>
        <w:rPr>
          <w:rFonts w:cs="Times New Roman"/>
          <w:sz w:val="24"/>
          <w:szCs w:val="24"/>
        </w:rPr>
      </w:pPr>
    </w:p>
    <w:p w14:paraId="12F5D4E1" w14:textId="7BF47E92" w:rsidR="00522F19" w:rsidRDefault="00E420C0" w:rsidP="00252475">
      <w:pPr>
        <w:spacing w:before="0" w:after="0" w:line="240" w:lineRule="auto"/>
        <w:rPr>
          <w:rFonts w:cs="Times New Roman"/>
          <w:b/>
          <w:bCs/>
          <w:sz w:val="24"/>
          <w:szCs w:val="24"/>
        </w:rPr>
      </w:pPr>
      <w:r w:rsidRPr="00252475">
        <w:rPr>
          <w:rFonts w:cs="Times New Roman"/>
          <w:b/>
          <w:bCs/>
          <w:sz w:val="24"/>
          <w:szCs w:val="24"/>
        </w:rPr>
        <w:lastRenderedPageBreak/>
        <w:t>PROCESAMIENTO DE DATOS</w:t>
      </w:r>
    </w:p>
    <w:p w14:paraId="031B873E" w14:textId="77777777" w:rsidR="00252475" w:rsidRPr="00252475" w:rsidRDefault="00252475" w:rsidP="00252475">
      <w:pPr>
        <w:spacing w:before="0" w:after="0" w:line="240" w:lineRule="auto"/>
        <w:rPr>
          <w:rFonts w:cs="Times New Roman"/>
          <w:b/>
          <w:bCs/>
          <w:sz w:val="24"/>
          <w:szCs w:val="24"/>
        </w:rPr>
      </w:pPr>
    </w:p>
    <w:p w14:paraId="39F7029D" w14:textId="778580EC" w:rsidR="000247A1" w:rsidRPr="00252475" w:rsidRDefault="00926F22" w:rsidP="00252475">
      <w:pPr>
        <w:spacing w:before="0" w:after="0" w:line="240" w:lineRule="auto"/>
        <w:ind w:firstLine="567"/>
        <w:rPr>
          <w:rFonts w:cs="Times New Roman"/>
          <w:sz w:val="24"/>
          <w:szCs w:val="24"/>
        </w:rPr>
      </w:pPr>
      <w:r w:rsidRPr="00252475">
        <w:rPr>
          <w:rFonts w:cs="Times New Roman"/>
          <w:sz w:val="24"/>
          <w:szCs w:val="24"/>
        </w:rPr>
        <w:t>El primer paso consistió en definir el límite de pisos térmicos, teniendo en cuenta la zonificación climática aplicada a levantamiento de suelos (</w:t>
      </w:r>
      <w:proofErr w:type="spellStart"/>
      <w:r w:rsidRPr="00252475">
        <w:rPr>
          <w:rFonts w:cs="Times New Roman"/>
          <w:sz w:val="24"/>
          <w:szCs w:val="24"/>
        </w:rPr>
        <w:t>Agualimpia</w:t>
      </w:r>
      <w:proofErr w:type="spellEnd"/>
      <w:r w:rsidRPr="00252475">
        <w:rPr>
          <w:rFonts w:cs="Times New Roman"/>
          <w:sz w:val="24"/>
          <w:szCs w:val="24"/>
        </w:rPr>
        <w:t xml:space="preserve"> y Castro, 2018; IGAC, 2018), pues, para la escala general, la microcuenca del río Barbillas se encontraba en clima templado húmedo definida por la cota establecida para estudios generales (IGAC, 1998). El gradiente de temperatura hallado para este sector estima que el piso térmico templado se encuentra entre las cotas 950 y 1.880 y el piso frío se identificó a partir de la cota 1.881. El reconocimiento de estos límites se complementó con la identificación de especies vegetales representativas de los pisos térmicos frío y templado y mediante el registro de la temperatura estabilizada del suelo a 50 cm de profundidad. El valor de referencia de la temperatura para el suelo localizado en el piso térmico frío estuvo entre 13,9 y 16,1°C (Castro, </w:t>
      </w:r>
      <w:proofErr w:type="spellStart"/>
      <w:r w:rsidRPr="00252475">
        <w:rPr>
          <w:rFonts w:cs="Times New Roman"/>
          <w:sz w:val="24"/>
          <w:szCs w:val="24"/>
        </w:rPr>
        <w:t>Agualimpia</w:t>
      </w:r>
      <w:proofErr w:type="spellEnd"/>
      <w:r w:rsidRPr="00252475">
        <w:rPr>
          <w:rFonts w:cs="Times New Roman"/>
          <w:sz w:val="24"/>
          <w:szCs w:val="24"/>
        </w:rPr>
        <w:t xml:space="preserve"> y Sánchez, 2016).</w:t>
      </w:r>
    </w:p>
    <w:p w14:paraId="542C157A" w14:textId="4B7C16BB" w:rsidR="000247A1" w:rsidRPr="00252475" w:rsidRDefault="00926F22" w:rsidP="00252475">
      <w:pPr>
        <w:spacing w:before="0" w:after="0" w:line="240" w:lineRule="auto"/>
        <w:ind w:firstLine="567"/>
        <w:rPr>
          <w:rFonts w:cs="Times New Roman"/>
          <w:sz w:val="24"/>
          <w:szCs w:val="24"/>
        </w:rPr>
      </w:pPr>
      <w:r w:rsidRPr="00252475">
        <w:rPr>
          <w:rFonts w:cs="Times New Roman"/>
          <w:sz w:val="24"/>
          <w:szCs w:val="24"/>
        </w:rPr>
        <w:t xml:space="preserve">Se abordó el concepto de disponibilidad de agua total, que tiene dos componentes: la oferta de agua superficial y el agua almacenada en el suelo. Para la determinación cuantitativa de la primera, se </w:t>
      </w:r>
      <w:r w:rsidR="00F90BD9" w:rsidRPr="00252475">
        <w:rPr>
          <w:rFonts w:cs="Times New Roman"/>
          <w:sz w:val="24"/>
          <w:szCs w:val="24"/>
        </w:rPr>
        <w:t>utiliz</w:t>
      </w:r>
      <w:r w:rsidRPr="00252475">
        <w:rPr>
          <w:rFonts w:cs="Times New Roman"/>
          <w:sz w:val="24"/>
          <w:szCs w:val="24"/>
        </w:rPr>
        <w:t xml:space="preserve">ó la información del Estudio Nacional del Agua (IDEAM, 2014). Se contempló una nueva forma de representación de la disponibilidad de agua superficial a través de indicadores hidrológicos, en los cuales se muestran los cambios en temporadas húmedas, secas y promedio. No obstante, dado su nivel de detalle, se consideró que estos datos requerían de ajustes en el contexto regional y local para lograr un acercamiento a la oferta neta y cumplir con el objetivo planteado inicialmente.  </w:t>
      </w:r>
    </w:p>
    <w:p w14:paraId="3A40DE5C" w14:textId="01ACB791" w:rsidR="000247A1" w:rsidRDefault="00926F22" w:rsidP="00252475">
      <w:pPr>
        <w:spacing w:before="0" w:after="0" w:line="240" w:lineRule="auto"/>
        <w:ind w:firstLine="567"/>
        <w:rPr>
          <w:rFonts w:cs="Times New Roman"/>
          <w:sz w:val="24"/>
          <w:szCs w:val="24"/>
        </w:rPr>
      </w:pPr>
      <w:r w:rsidRPr="00252475">
        <w:rPr>
          <w:rFonts w:cs="Times New Roman"/>
          <w:sz w:val="24"/>
          <w:szCs w:val="24"/>
        </w:rPr>
        <w:t>La estimación de la capacidad de almacenamiento de agua (</w:t>
      </w:r>
      <w:r w:rsidRPr="00252475">
        <w:rPr>
          <w:rFonts w:cs="Times New Roman"/>
          <w:i/>
          <w:sz w:val="24"/>
          <w:szCs w:val="24"/>
        </w:rPr>
        <w:t>CA</w:t>
      </w:r>
      <w:r w:rsidRPr="00252475">
        <w:rPr>
          <w:rFonts w:cs="Times New Roman"/>
          <w:sz w:val="24"/>
          <w:szCs w:val="24"/>
        </w:rPr>
        <w:t xml:space="preserve">) del suelo (Ecuación </w:t>
      </w:r>
      <w:r w:rsidR="00E82E73" w:rsidRPr="00252475">
        <w:rPr>
          <w:rFonts w:cs="Times New Roman"/>
          <w:sz w:val="24"/>
          <w:szCs w:val="24"/>
        </w:rPr>
        <w:t>1</w:t>
      </w:r>
      <w:r w:rsidRPr="00252475">
        <w:rPr>
          <w:rFonts w:cs="Times New Roman"/>
          <w:sz w:val="24"/>
          <w:szCs w:val="24"/>
        </w:rPr>
        <w:t>) se determinó en su profundidad efectiva (</w:t>
      </w:r>
      <w:r w:rsidRPr="00252475">
        <w:rPr>
          <w:rFonts w:cs="Times New Roman"/>
          <w:i/>
          <w:sz w:val="24"/>
          <w:szCs w:val="24"/>
        </w:rPr>
        <w:t>PE</w:t>
      </w:r>
      <w:r w:rsidRPr="00252475">
        <w:rPr>
          <w:rFonts w:cs="Times New Roman"/>
          <w:sz w:val="24"/>
          <w:szCs w:val="24"/>
        </w:rPr>
        <w:t>, cm), limitada físicamente por la presencia de abundantes fragmentos de roca (&gt;60%). Se recopilaron muestras de suelo en los 55 sitios, para los cuales se obtuvieron muestras para conocer la densidad aparente (</w:t>
      </w:r>
      <w:r w:rsidRPr="00252475">
        <w:rPr>
          <w:rFonts w:cs="Times New Roman"/>
          <w:i/>
          <w:sz w:val="24"/>
          <w:szCs w:val="24"/>
        </w:rPr>
        <w:t>Da</w:t>
      </w:r>
      <w:r w:rsidRPr="00252475">
        <w:rPr>
          <w:rFonts w:cs="Times New Roman"/>
          <w:sz w:val="24"/>
          <w:szCs w:val="24"/>
        </w:rPr>
        <w:t>, gr.cm</w:t>
      </w:r>
      <w:r w:rsidRPr="00252475">
        <w:rPr>
          <w:rFonts w:cs="Times New Roman"/>
          <w:sz w:val="24"/>
          <w:szCs w:val="24"/>
          <w:vertAlign w:val="superscript"/>
        </w:rPr>
        <w:t>-3</w:t>
      </w:r>
      <w:r w:rsidRPr="00252475">
        <w:rPr>
          <w:rFonts w:cs="Times New Roman"/>
          <w:sz w:val="24"/>
          <w:szCs w:val="24"/>
        </w:rPr>
        <w:t>), fragmentos de roca (FR, %) y humedad aprovechable (</w:t>
      </w:r>
      <w:r w:rsidRPr="00252475">
        <w:rPr>
          <w:rFonts w:cs="Times New Roman"/>
          <w:i/>
          <w:sz w:val="24"/>
          <w:szCs w:val="24"/>
        </w:rPr>
        <w:t>HA</w:t>
      </w:r>
      <w:r w:rsidRPr="00252475">
        <w:rPr>
          <w:rFonts w:cs="Times New Roman"/>
          <w:sz w:val="24"/>
          <w:szCs w:val="24"/>
        </w:rPr>
        <w:t>, cm). Esta última entendida como la diferencia entre los contenidos de humedad a capacidad de campo y punto de marchitez permanente. Adicionalmente, para el primer horizonte de cada sitio, se calculó el límite líquido.</w:t>
      </w:r>
    </w:p>
    <w:p w14:paraId="3D56BF1D" w14:textId="77777777" w:rsidR="007F4FE3" w:rsidRDefault="007F4FE3" w:rsidP="00252475">
      <w:pPr>
        <w:spacing w:before="0" w:after="0" w:line="240" w:lineRule="auto"/>
        <w:ind w:firstLine="567"/>
        <w:rPr>
          <w:rFonts w:cs="Times New Roman"/>
          <w:sz w:val="24"/>
          <w:szCs w:val="24"/>
        </w:rPr>
      </w:pPr>
    </w:p>
    <w:p w14:paraId="52200481" w14:textId="77777777" w:rsidR="00252475" w:rsidRPr="00252475" w:rsidRDefault="00252475" w:rsidP="00252475">
      <w:pPr>
        <w:spacing w:before="0" w:after="0" w:line="240" w:lineRule="auto"/>
        <w:ind w:firstLine="567"/>
        <w:rPr>
          <w:rFonts w:cs="Times New Roman"/>
          <w:sz w:val="24"/>
          <w:szCs w:val="24"/>
        </w:rPr>
      </w:pPr>
    </w:p>
    <w:p w14:paraId="659F3E9E" w14:textId="0C660C6B" w:rsidR="000247A1" w:rsidRDefault="00926F22" w:rsidP="00252475">
      <w:pPr>
        <w:spacing w:before="0" w:after="0" w:line="240" w:lineRule="auto"/>
        <w:ind w:firstLine="567"/>
        <w:jc w:val="right"/>
        <w:rPr>
          <w:rFonts w:eastAsiaTheme="minorEastAsia" w:cs="Times New Roman"/>
          <w:sz w:val="24"/>
          <w:szCs w:val="24"/>
        </w:rPr>
      </w:pPr>
      <m:oMath>
        <m:r>
          <w:rPr>
            <w:rFonts w:ascii="Cambria Math" w:hAnsi="Cambria Math" w:cs="Times New Roman"/>
            <w:sz w:val="24"/>
            <w:szCs w:val="24"/>
          </w:rPr>
          <m:t>CA=HAxDax</m:t>
        </m:r>
        <m:f>
          <m:fPr>
            <m:ctrlPr>
              <w:rPr>
                <w:rFonts w:ascii="Cambria Math" w:hAnsi="Cambria Math" w:cs="Times New Roman"/>
                <w:sz w:val="24"/>
                <w:szCs w:val="24"/>
              </w:rPr>
            </m:ctrlPr>
          </m:fPr>
          <m:num>
            <m:r>
              <w:rPr>
                <w:rFonts w:ascii="Cambria Math" w:hAnsi="Cambria Math" w:cs="Times New Roman"/>
                <w:sz w:val="24"/>
                <w:szCs w:val="24"/>
              </w:rPr>
              <m:t>100-FR</m:t>
            </m:r>
          </m:num>
          <m:den>
            <m:r>
              <w:rPr>
                <w:rFonts w:ascii="Cambria Math" w:hAnsi="Cambria Math" w:cs="Times New Roman"/>
                <w:sz w:val="24"/>
                <w:szCs w:val="24"/>
              </w:rPr>
              <m:t>100</m:t>
            </m:r>
          </m:den>
        </m:f>
        <m:r>
          <w:rPr>
            <w:rFonts w:ascii="Cambria Math" w:hAnsi="Cambria Math" w:cs="Times New Roman"/>
            <w:sz w:val="24"/>
            <w:szCs w:val="24"/>
          </w:rPr>
          <m:t>xPE</m:t>
        </m:r>
      </m:oMath>
      <w:r w:rsidR="00252475">
        <w:rPr>
          <w:rFonts w:eastAsiaTheme="minorEastAsia" w:cs="Times New Roman"/>
          <w:sz w:val="24"/>
          <w:szCs w:val="24"/>
        </w:rPr>
        <w:t xml:space="preserve">                                         </w:t>
      </w:r>
      <w:r w:rsidRPr="00252475">
        <w:rPr>
          <w:rFonts w:eastAsiaTheme="minorEastAsia" w:cs="Times New Roman"/>
          <w:sz w:val="24"/>
          <w:szCs w:val="24"/>
        </w:rPr>
        <w:tab/>
        <w:t>(</w:t>
      </w:r>
      <w:r w:rsidR="00252475">
        <w:rPr>
          <w:rFonts w:eastAsiaTheme="minorEastAsia" w:cs="Times New Roman"/>
          <w:sz w:val="24"/>
          <w:szCs w:val="24"/>
        </w:rPr>
        <w:t>0</w:t>
      </w:r>
      <w:r w:rsidR="00E82E73" w:rsidRPr="00252475">
        <w:rPr>
          <w:rFonts w:eastAsiaTheme="minorEastAsia" w:cs="Times New Roman"/>
          <w:sz w:val="24"/>
          <w:szCs w:val="24"/>
        </w:rPr>
        <w:t>1</w:t>
      </w:r>
      <w:r w:rsidRPr="00252475">
        <w:rPr>
          <w:rFonts w:eastAsiaTheme="minorEastAsia" w:cs="Times New Roman"/>
          <w:sz w:val="24"/>
          <w:szCs w:val="24"/>
        </w:rPr>
        <w:t>)</w:t>
      </w:r>
    </w:p>
    <w:p w14:paraId="31599E6F" w14:textId="77777777" w:rsidR="00252475" w:rsidRPr="00252475" w:rsidRDefault="00252475" w:rsidP="00252475">
      <w:pPr>
        <w:spacing w:before="0" w:after="0" w:line="240" w:lineRule="auto"/>
        <w:ind w:firstLine="567"/>
        <w:jc w:val="center"/>
        <w:rPr>
          <w:rFonts w:cs="Times New Roman"/>
          <w:sz w:val="24"/>
          <w:szCs w:val="24"/>
        </w:rPr>
      </w:pPr>
    </w:p>
    <w:p w14:paraId="75C38658" w14:textId="77777777" w:rsidR="00392D3F" w:rsidRDefault="00392D3F" w:rsidP="00252475">
      <w:pPr>
        <w:spacing w:before="0" w:after="0" w:line="240" w:lineRule="auto"/>
        <w:ind w:firstLine="567"/>
        <w:rPr>
          <w:rFonts w:cs="Times New Roman"/>
          <w:sz w:val="24"/>
          <w:szCs w:val="24"/>
        </w:rPr>
      </w:pPr>
    </w:p>
    <w:p w14:paraId="29323361" w14:textId="417030C9" w:rsidR="000247A1" w:rsidRPr="00252475" w:rsidRDefault="00926F22" w:rsidP="00252475">
      <w:pPr>
        <w:spacing w:before="0" w:after="0" w:line="240" w:lineRule="auto"/>
        <w:ind w:firstLine="567"/>
        <w:rPr>
          <w:rFonts w:cs="Times New Roman"/>
          <w:sz w:val="24"/>
          <w:szCs w:val="24"/>
        </w:rPr>
      </w:pPr>
      <w:r w:rsidRPr="00252475">
        <w:rPr>
          <w:rFonts w:cs="Times New Roman"/>
          <w:sz w:val="24"/>
          <w:szCs w:val="24"/>
        </w:rPr>
        <w:t>La oferta de agua o su disponibilidad en el suelo se estimó a partir de la evaluación del balance hídrico, que permitió valorar el contenido de agua en el suelo, en un intervalo de tiempo equivalente a un año (Leiva, 2012)</w:t>
      </w:r>
      <w:r w:rsidR="004762C4" w:rsidRPr="00252475">
        <w:rPr>
          <w:rFonts w:cs="Times New Roman"/>
          <w:sz w:val="24"/>
          <w:szCs w:val="24"/>
        </w:rPr>
        <w:t>.</w:t>
      </w:r>
      <w:r w:rsidR="004E0546" w:rsidRPr="00252475">
        <w:rPr>
          <w:rFonts w:cs="Times New Roman"/>
          <w:sz w:val="24"/>
          <w:szCs w:val="24"/>
        </w:rPr>
        <w:t xml:space="preserve"> </w:t>
      </w:r>
      <w:r w:rsidR="004762C4" w:rsidRPr="00252475">
        <w:rPr>
          <w:rFonts w:cs="Times New Roman"/>
          <w:sz w:val="24"/>
          <w:szCs w:val="24"/>
        </w:rPr>
        <w:t xml:space="preserve">El </w:t>
      </w:r>
      <w:r w:rsidRPr="00252475">
        <w:rPr>
          <w:rFonts w:cs="Times New Roman"/>
          <w:sz w:val="24"/>
          <w:szCs w:val="24"/>
        </w:rPr>
        <w:t xml:space="preserve">balance se realizó a partir del método de </w:t>
      </w:r>
      <w:proofErr w:type="spellStart"/>
      <w:r w:rsidRPr="00252475">
        <w:rPr>
          <w:rFonts w:cs="Times New Roman"/>
          <w:sz w:val="24"/>
          <w:szCs w:val="24"/>
        </w:rPr>
        <w:t>Thornthwaite</w:t>
      </w:r>
      <w:proofErr w:type="spellEnd"/>
      <w:r w:rsidRPr="00252475">
        <w:rPr>
          <w:rFonts w:cs="Times New Roman"/>
          <w:sz w:val="24"/>
          <w:szCs w:val="24"/>
        </w:rPr>
        <w:t xml:space="preserve"> &amp; </w:t>
      </w:r>
      <w:proofErr w:type="spellStart"/>
      <w:r w:rsidRPr="00252475">
        <w:rPr>
          <w:rFonts w:cs="Times New Roman"/>
          <w:sz w:val="24"/>
          <w:szCs w:val="24"/>
        </w:rPr>
        <w:t>Mather</w:t>
      </w:r>
      <w:proofErr w:type="spellEnd"/>
      <w:r w:rsidRPr="00252475">
        <w:rPr>
          <w:rFonts w:cs="Times New Roman"/>
          <w:sz w:val="24"/>
          <w:szCs w:val="24"/>
        </w:rPr>
        <w:t xml:space="preserve"> (1955) </w:t>
      </w:r>
      <w:r w:rsidR="004762C4" w:rsidRPr="00252475">
        <w:rPr>
          <w:rFonts w:cs="Times New Roman"/>
          <w:sz w:val="24"/>
          <w:szCs w:val="24"/>
        </w:rPr>
        <w:t xml:space="preserve">en el que </w:t>
      </w:r>
      <w:r w:rsidRPr="00252475">
        <w:rPr>
          <w:rFonts w:cs="Times New Roman"/>
          <w:sz w:val="24"/>
          <w:szCs w:val="24"/>
        </w:rPr>
        <w:t>se asum</w:t>
      </w:r>
      <w:r w:rsidR="002C2A4D" w:rsidRPr="00252475">
        <w:rPr>
          <w:rFonts w:cs="Times New Roman"/>
          <w:sz w:val="24"/>
          <w:szCs w:val="24"/>
        </w:rPr>
        <w:t>ió</w:t>
      </w:r>
      <w:r w:rsidRPr="00252475">
        <w:rPr>
          <w:rFonts w:cs="Times New Roman"/>
          <w:sz w:val="24"/>
          <w:szCs w:val="24"/>
        </w:rPr>
        <w:t xml:space="preserve"> </w:t>
      </w:r>
      <w:r w:rsidR="004762C4" w:rsidRPr="00252475">
        <w:rPr>
          <w:rFonts w:cs="Times New Roman"/>
          <w:sz w:val="24"/>
          <w:szCs w:val="24"/>
        </w:rPr>
        <w:t xml:space="preserve">un </w:t>
      </w:r>
      <w:r w:rsidRPr="00252475">
        <w:rPr>
          <w:rFonts w:cs="Times New Roman"/>
          <w:sz w:val="24"/>
          <w:szCs w:val="24"/>
        </w:rPr>
        <w:t>ingres</w:t>
      </w:r>
      <w:r w:rsidR="004762C4" w:rsidRPr="00252475">
        <w:rPr>
          <w:rFonts w:cs="Times New Roman"/>
          <w:sz w:val="24"/>
          <w:szCs w:val="24"/>
        </w:rPr>
        <w:t>o del agua</w:t>
      </w:r>
      <w:r w:rsidRPr="00252475">
        <w:rPr>
          <w:rFonts w:cs="Times New Roman"/>
          <w:sz w:val="24"/>
          <w:szCs w:val="24"/>
        </w:rPr>
        <w:t xml:space="preserve"> al suelo </w:t>
      </w:r>
      <w:r w:rsidR="004762C4" w:rsidRPr="00252475">
        <w:rPr>
          <w:rFonts w:cs="Times New Roman"/>
          <w:sz w:val="24"/>
          <w:szCs w:val="24"/>
        </w:rPr>
        <w:t>a partir</w:t>
      </w:r>
      <w:r w:rsidRPr="00252475">
        <w:rPr>
          <w:rFonts w:cs="Times New Roman"/>
          <w:sz w:val="24"/>
          <w:szCs w:val="24"/>
        </w:rPr>
        <w:t xml:space="preserve"> de la precipitación, la escorrentía o aportes subterráneos, y que las pérdidas hacia la atmósfera </w:t>
      </w:r>
      <w:r w:rsidR="002C2A4D" w:rsidRPr="00252475">
        <w:rPr>
          <w:rFonts w:cs="Times New Roman"/>
          <w:sz w:val="24"/>
          <w:szCs w:val="24"/>
        </w:rPr>
        <w:t>fuero</w:t>
      </w:r>
      <w:r w:rsidRPr="00252475">
        <w:rPr>
          <w:rFonts w:cs="Times New Roman"/>
          <w:sz w:val="24"/>
          <w:szCs w:val="24"/>
        </w:rPr>
        <w:t xml:space="preserve">n ocasionadas por la evaporación y por la transpiración desde la vegetación existente en condiciones climáticas medias (IGAC, 2018). Las variables climáticas se estimaron a partir de series históricas de estaciones meteorológicas del IDEAM, con una frecuencia </w:t>
      </w:r>
      <w:proofErr w:type="spellStart"/>
      <w:r w:rsidRPr="00252475">
        <w:rPr>
          <w:rFonts w:cs="Times New Roman"/>
          <w:sz w:val="24"/>
          <w:szCs w:val="24"/>
        </w:rPr>
        <w:t>decadiaria</w:t>
      </w:r>
      <w:proofErr w:type="spellEnd"/>
      <w:r w:rsidRPr="00252475">
        <w:rPr>
          <w:rFonts w:cs="Times New Roman"/>
          <w:sz w:val="24"/>
          <w:szCs w:val="24"/>
        </w:rPr>
        <w:t xml:space="preserve"> (cada 10 días), particularmente con la aplicación de la normal climatológica 1981 - 2011.</w:t>
      </w:r>
    </w:p>
    <w:p w14:paraId="05E9CD02" w14:textId="0D164C77" w:rsidR="000247A1" w:rsidRDefault="00926F22" w:rsidP="00252475">
      <w:pPr>
        <w:spacing w:before="0" w:after="0" w:line="240" w:lineRule="auto"/>
        <w:ind w:firstLine="567"/>
        <w:rPr>
          <w:rFonts w:cs="Times New Roman"/>
          <w:sz w:val="24"/>
          <w:szCs w:val="24"/>
        </w:rPr>
      </w:pPr>
      <w:r w:rsidRPr="00252475">
        <w:rPr>
          <w:rFonts w:cs="Times New Roman"/>
          <w:sz w:val="24"/>
          <w:szCs w:val="24"/>
        </w:rPr>
        <w:t xml:space="preserve">El análisis del balance hídrico </w:t>
      </w:r>
      <w:proofErr w:type="spellStart"/>
      <w:r w:rsidRPr="00252475">
        <w:rPr>
          <w:rFonts w:cs="Times New Roman"/>
          <w:sz w:val="24"/>
          <w:szCs w:val="24"/>
        </w:rPr>
        <w:t>decadiario</w:t>
      </w:r>
      <w:proofErr w:type="spellEnd"/>
      <w:r w:rsidRPr="00252475">
        <w:rPr>
          <w:rFonts w:cs="Times New Roman"/>
          <w:sz w:val="24"/>
          <w:szCs w:val="24"/>
        </w:rPr>
        <w:t xml:space="preserve"> permitió estimar el tiempo durante el cual el suelo se mant</w:t>
      </w:r>
      <w:r w:rsidR="002C2A4D" w:rsidRPr="00252475">
        <w:rPr>
          <w:rFonts w:cs="Times New Roman"/>
          <w:sz w:val="24"/>
          <w:szCs w:val="24"/>
        </w:rPr>
        <w:t>uvo</w:t>
      </w:r>
      <w:r w:rsidRPr="00252475">
        <w:rPr>
          <w:rFonts w:cs="Times New Roman"/>
          <w:sz w:val="24"/>
          <w:szCs w:val="24"/>
        </w:rPr>
        <w:t xml:space="preserve"> con humedad suficiente y constituy</w:t>
      </w:r>
      <w:r w:rsidR="002C2A4D" w:rsidRPr="00252475">
        <w:rPr>
          <w:rFonts w:cs="Times New Roman"/>
          <w:sz w:val="24"/>
          <w:szCs w:val="24"/>
        </w:rPr>
        <w:t>ó</w:t>
      </w:r>
      <w:r w:rsidRPr="00252475">
        <w:rPr>
          <w:rFonts w:cs="Times New Roman"/>
          <w:sz w:val="24"/>
          <w:szCs w:val="24"/>
        </w:rPr>
        <w:t xml:space="preserve"> la disponibilidad temporal de agua en el mismo, en términos de lámina de agua (mm)</w:t>
      </w:r>
      <w:r w:rsidR="002C2A4D" w:rsidRPr="00252475">
        <w:rPr>
          <w:rFonts w:cs="Times New Roman"/>
          <w:sz w:val="24"/>
          <w:szCs w:val="24"/>
        </w:rPr>
        <w:t>; luego se procedió a su</w:t>
      </w:r>
      <w:r w:rsidRPr="00252475">
        <w:rPr>
          <w:rFonts w:cs="Times New Roman"/>
          <w:sz w:val="24"/>
          <w:szCs w:val="24"/>
        </w:rPr>
        <w:t xml:space="preserve"> clasific</w:t>
      </w:r>
      <w:r w:rsidR="002C2A4D" w:rsidRPr="00252475">
        <w:rPr>
          <w:rFonts w:cs="Times New Roman"/>
          <w:sz w:val="24"/>
          <w:szCs w:val="24"/>
        </w:rPr>
        <w:t>ación de acuerdo con las</w:t>
      </w:r>
      <w:r w:rsidRPr="00252475">
        <w:rPr>
          <w:rFonts w:cs="Times New Roman"/>
          <w:sz w:val="24"/>
          <w:szCs w:val="24"/>
        </w:rPr>
        <w:t xml:space="preserve"> ocho categorías (Tabla 1) consideradas en la metodología de capacidad de uso de las tierras (IGAC, 2014).</w:t>
      </w:r>
    </w:p>
    <w:p w14:paraId="6905D866" w14:textId="77777777" w:rsidR="00392D3F" w:rsidRDefault="00392D3F" w:rsidP="00252475">
      <w:pPr>
        <w:spacing w:before="0" w:after="0" w:line="240" w:lineRule="auto"/>
        <w:ind w:firstLine="567"/>
        <w:rPr>
          <w:rFonts w:cs="Times New Roman"/>
          <w:sz w:val="24"/>
          <w:szCs w:val="24"/>
        </w:rPr>
      </w:pPr>
    </w:p>
    <w:p w14:paraId="204BB9C4" w14:textId="77777777" w:rsidR="00392D3F" w:rsidRPr="00252475" w:rsidRDefault="00392D3F" w:rsidP="00252475">
      <w:pPr>
        <w:spacing w:before="0" w:after="0" w:line="240" w:lineRule="auto"/>
        <w:ind w:firstLine="567"/>
        <w:rPr>
          <w:rFonts w:cs="Times New Roman"/>
          <w:sz w:val="24"/>
          <w:szCs w:val="24"/>
        </w:rPr>
      </w:pPr>
    </w:p>
    <w:p w14:paraId="1170DF65" w14:textId="3A543476" w:rsidR="000247A1" w:rsidRPr="006301E4" w:rsidRDefault="006301E4" w:rsidP="004C5683">
      <w:pPr>
        <w:spacing w:line="240" w:lineRule="auto"/>
        <w:ind w:left="851" w:hanging="851"/>
        <w:rPr>
          <w:rFonts w:cs="Times New Roman"/>
        </w:rPr>
      </w:pPr>
      <w:r w:rsidRPr="006301E4">
        <w:rPr>
          <w:rFonts w:cs="Times New Roman"/>
        </w:rPr>
        <w:lastRenderedPageBreak/>
        <w:t>T</w:t>
      </w:r>
      <w:r w:rsidR="00392D3F">
        <w:rPr>
          <w:rFonts w:cs="Times New Roman"/>
        </w:rPr>
        <w:t>abla</w:t>
      </w:r>
      <w:r w:rsidRPr="006301E4">
        <w:rPr>
          <w:rFonts w:cs="Times New Roman"/>
        </w:rPr>
        <w:t xml:space="preserve"> 1. CLASIFICACIÓN DE GRUPOS DE CAPACIDAD AJUSTADA, AL AGUA ESTIMADA EN EL SUELO.</w:t>
      </w:r>
    </w:p>
    <w:tbl>
      <w:tblPr>
        <w:tblW w:w="7944" w:type="dxa"/>
        <w:jc w:val="center"/>
        <w:tblCellMar>
          <w:left w:w="70" w:type="dxa"/>
          <w:right w:w="70" w:type="dxa"/>
        </w:tblCellMar>
        <w:tblLook w:val="04A0" w:firstRow="1" w:lastRow="0" w:firstColumn="1" w:lastColumn="0" w:noHBand="0" w:noVBand="1"/>
      </w:tblPr>
      <w:tblGrid>
        <w:gridCol w:w="426"/>
        <w:gridCol w:w="7518"/>
      </w:tblGrid>
      <w:tr w:rsidR="000247A1" w:rsidRPr="004C5683" w14:paraId="7FB15BB5" w14:textId="77777777" w:rsidTr="00392D3F">
        <w:trPr>
          <w:trHeight w:val="364"/>
          <w:jc w:val="center"/>
        </w:trPr>
        <w:tc>
          <w:tcPr>
            <w:tcW w:w="7944" w:type="dxa"/>
            <w:gridSpan w:val="2"/>
            <w:tcBorders>
              <w:top w:val="single" w:sz="4" w:space="0" w:color="auto"/>
              <w:left w:val="single" w:sz="4" w:space="0" w:color="auto"/>
              <w:bottom w:val="single" w:sz="4" w:space="0" w:color="000000"/>
              <w:right w:val="single" w:sz="4" w:space="0" w:color="auto"/>
            </w:tcBorders>
            <w:shd w:val="clear" w:color="auto" w:fill="auto"/>
            <w:vAlign w:val="bottom"/>
          </w:tcPr>
          <w:p w14:paraId="3236E9BA" w14:textId="77777777" w:rsidR="000247A1" w:rsidRPr="004C5683" w:rsidRDefault="00926F22" w:rsidP="00F90BD9">
            <w:pPr>
              <w:spacing w:before="0" w:after="0" w:line="360" w:lineRule="auto"/>
              <w:jc w:val="center"/>
              <w:rPr>
                <w:rFonts w:cs="Times New Roman"/>
                <w:b/>
                <w:sz w:val="20"/>
                <w:szCs w:val="20"/>
              </w:rPr>
            </w:pPr>
            <w:r w:rsidRPr="004C5683">
              <w:rPr>
                <w:rFonts w:cs="Times New Roman"/>
                <w:b/>
                <w:sz w:val="20"/>
                <w:szCs w:val="20"/>
              </w:rPr>
              <w:t>Criterio</w:t>
            </w:r>
          </w:p>
        </w:tc>
      </w:tr>
      <w:tr w:rsidR="000247A1" w:rsidRPr="004C5683" w14:paraId="2C3B9418" w14:textId="77777777" w:rsidTr="00392D3F">
        <w:trPr>
          <w:trHeight w:val="292"/>
          <w:jc w:val="center"/>
        </w:trPr>
        <w:tc>
          <w:tcPr>
            <w:tcW w:w="426" w:type="dxa"/>
            <w:tcBorders>
              <w:left w:val="single" w:sz="4" w:space="0" w:color="auto"/>
              <w:bottom w:val="single" w:sz="4" w:space="0" w:color="000000"/>
              <w:right w:val="single" w:sz="4" w:space="0" w:color="000000"/>
            </w:tcBorders>
            <w:shd w:val="clear" w:color="auto" w:fill="auto"/>
            <w:vAlign w:val="bottom"/>
          </w:tcPr>
          <w:p w14:paraId="52183879" w14:textId="77777777" w:rsidR="000247A1" w:rsidRPr="004C5683" w:rsidRDefault="00926F22" w:rsidP="00691C28">
            <w:pPr>
              <w:spacing w:before="0" w:after="0" w:line="360" w:lineRule="auto"/>
              <w:jc w:val="center"/>
              <w:rPr>
                <w:rFonts w:cs="Times New Roman"/>
                <w:sz w:val="20"/>
                <w:szCs w:val="20"/>
              </w:rPr>
            </w:pPr>
            <w:r w:rsidRPr="004C5683">
              <w:rPr>
                <w:rFonts w:cs="Times New Roman"/>
                <w:sz w:val="20"/>
                <w:szCs w:val="20"/>
              </w:rPr>
              <w:t>1</w:t>
            </w:r>
          </w:p>
        </w:tc>
        <w:tc>
          <w:tcPr>
            <w:tcW w:w="7518" w:type="dxa"/>
            <w:tcBorders>
              <w:top w:val="single" w:sz="4" w:space="0" w:color="000000"/>
              <w:bottom w:val="single" w:sz="4" w:space="0" w:color="000000"/>
              <w:right w:val="single" w:sz="4" w:space="0" w:color="auto"/>
            </w:tcBorders>
            <w:shd w:val="clear" w:color="auto" w:fill="auto"/>
            <w:vAlign w:val="bottom"/>
          </w:tcPr>
          <w:p w14:paraId="063B4E68" w14:textId="77777777" w:rsidR="000247A1" w:rsidRPr="004C5683" w:rsidRDefault="00926F22" w:rsidP="00F70D71">
            <w:pPr>
              <w:spacing w:before="0" w:after="0" w:line="360" w:lineRule="auto"/>
              <w:rPr>
                <w:rFonts w:cs="Times New Roman"/>
                <w:sz w:val="20"/>
                <w:szCs w:val="20"/>
              </w:rPr>
            </w:pPr>
            <w:r w:rsidRPr="004C5683">
              <w:rPr>
                <w:rFonts w:cs="Times New Roman"/>
                <w:sz w:val="20"/>
                <w:szCs w:val="20"/>
              </w:rPr>
              <w:t>Suficientes durante los dos semestres; permite cultivos continuados</w:t>
            </w:r>
          </w:p>
        </w:tc>
      </w:tr>
      <w:tr w:rsidR="000247A1" w:rsidRPr="004C5683" w14:paraId="37BE39AE" w14:textId="77777777" w:rsidTr="00392D3F">
        <w:trPr>
          <w:trHeight w:val="176"/>
          <w:jc w:val="center"/>
        </w:trPr>
        <w:tc>
          <w:tcPr>
            <w:tcW w:w="426" w:type="dxa"/>
            <w:tcBorders>
              <w:left w:val="single" w:sz="4" w:space="0" w:color="auto"/>
              <w:bottom w:val="single" w:sz="4" w:space="0" w:color="000000"/>
              <w:right w:val="single" w:sz="4" w:space="0" w:color="000000"/>
            </w:tcBorders>
            <w:shd w:val="clear" w:color="auto" w:fill="auto"/>
            <w:vAlign w:val="bottom"/>
          </w:tcPr>
          <w:p w14:paraId="04AD2BEC" w14:textId="77777777" w:rsidR="000247A1" w:rsidRPr="004C5683" w:rsidRDefault="00926F22" w:rsidP="00691C28">
            <w:pPr>
              <w:spacing w:before="0" w:after="0" w:line="360" w:lineRule="auto"/>
              <w:jc w:val="center"/>
              <w:rPr>
                <w:rFonts w:cs="Times New Roman"/>
                <w:sz w:val="20"/>
                <w:szCs w:val="20"/>
              </w:rPr>
            </w:pPr>
            <w:r w:rsidRPr="004C5683">
              <w:rPr>
                <w:rFonts w:cs="Times New Roman"/>
                <w:sz w:val="20"/>
                <w:szCs w:val="20"/>
              </w:rPr>
              <w:t>2</w:t>
            </w:r>
          </w:p>
        </w:tc>
        <w:tc>
          <w:tcPr>
            <w:tcW w:w="7518" w:type="dxa"/>
            <w:tcBorders>
              <w:top w:val="single" w:sz="4" w:space="0" w:color="000000"/>
              <w:bottom w:val="single" w:sz="4" w:space="0" w:color="000000"/>
              <w:right w:val="single" w:sz="4" w:space="0" w:color="auto"/>
            </w:tcBorders>
            <w:shd w:val="clear" w:color="auto" w:fill="auto"/>
            <w:vAlign w:val="bottom"/>
          </w:tcPr>
          <w:p w14:paraId="027AAFFD" w14:textId="3F08ABA4" w:rsidR="000247A1" w:rsidRPr="004C5683" w:rsidRDefault="00926F22" w:rsidP="00F70D71">
            <w:pPr>
              <w:spacing w:before="0" w:after="0" w:line="360" w:lineRule="auto"/>
              <w:rPr>
                <w:rFonts w:cs="Times New Roman"/>
                <w:sz w:val="20"/>
                <w:szCs w:val="20"/>
              </w:rPr>
            </w:pPr>
            <w:r w:rsidRPr="004C5683">
              <w:rPr>
                <w:rFonts w:cs="Times New Roman"/>
                <w:sz w:val="20"/>
                <w:szCs w:val="20"/>
              </w:rPr>
              <w:t xml:space="preserve">Suficientes durante </w:t>
            </w:r>
            <w:r w:rsidR="00CF3FBC" w:rsidRPr="004C5683">
              <w:rPr>
                <w:rFonts w:cs="Times New Roman"/>
                <w:sz w:val="20"/>
                <w:szCs w:val="20"/>
              </w:rPr>
              <w:t>un</w:t>
            </w:r>
            <w:r w:rsidRPr="004C5683">
              <w:rPr>
                <w:rFonts w:cs="Times New Roman"/>
                <w:sz w:val="20"/>
                <w:szCs w:val="20"/>
              </w:rPr>
              <w:t xml:space="preserve"> semestre, con deficiencias en el siguiente, no requiere riego</w:t>
            </w:r>
          </w:p>
        </w:tc>
      </w:tr>
      <w:tr w:rsidR="000247A1" w:rsidRPr="004C5683" w14:paraId="24B3D6FA" w14:textId="77777777" w:rsidTr="00392D3F">
        <w:trPr>
          <w:trHeight w:val="233"/>
          <w:jc w:val="center"/>
        </w:trPr>
        <w:tc>
          <w:tcPr>
            <w:tcW w:w="426" w:type="dxa"/>
            <w:tcBorders>
              <w:left w:val="single" w:sz="4" w:space="0" w:color="auto"/>
              <w:bottom w:val="single" w:sz="4" w:space="0" w:color="000000"/>
              <w:right w:val="single" w:sz="4" w:space="0" w:color="000000"/>
            </w:tcBorders>
            <w:shd w:val="clear" w:color="auto" w:fill="auto"/>
            <w:vAlign w:val="bottom"/>
          </w:tcPr>
          <w:p w14:paraId="17B7879B" w14:textId="77777777" w:rsidR="000247A1" w:rsidRPr="004C5683" w:rsidRDefault="00926F22" w:rsidP="00691C28">
            <w:pPr>
              <w:spacing w:before="0" w:after="0" w:line="360" w:lineRule="auto"/>
              <w:jc w:val="center"/>
              <w:rPr>
                <w:rFonts w:cs="Times New Roman"/>
                <w:sz w:val="20"/>
                <w:szCs w:val="20"/>
              </w:rPr>
            </w:pPr>
            <w:r w:rsidRPr="004C5683">
              <w:rPr>
                <w:rFonts w:cs="Times New Roman"/>
                <w:sz w:val="20"/>
                <w:szCs w:val="20"/>
              </w:rPr>
              <w:t>3</w:t>
            </w:r>
          </w:p>
        </w:tc>
        <w:tc>
          <w:tcPr>
            <w:tcW w:w="7518" w:type="dxa"/>
            <w:tcBorders>
              <w:top w:val="single" w:sz="4" w:space="0" w:color="000000"/>
              <w:bottom w:val="single" w:sz="4" w:space="0" w:color="000000"/>
              <w:right w:val="single" w:sz="4" w:space="0" w:color="auto"/>
            </w:tcBorders>
            <w:shd w:val="clear" w:color="auto" w:fill="auto"/>
            <w:vAlign w:val="bottom"/>
          </w:tcPr>
          <w:p w14:paraId="76DA030C" w14:textId="2EF5AED6" w:rsidR="000247A1" w:rsidRPr="004C5683" w:rsidRDefault="00926F22" w:rsidP="00F70D71">
            <w:pPr>
              <w:spacing w:before="0" w:after="0" w:line="360" w:lineRule="auto"/>
              <w:rPr>
                <w:rFonts w:cs="Times New Roman"/>
                <w:sz w:val="20"/>
                <w:szCs w:val="20"/>
              </w:rPr>
            </w:pPr>
            <w:r w:rsidRPr="004C5683">
              <w:rPr>
                <w:rFonts w:cs="Times New Roman"/>
                <w:sz w:val="20"/>
                <w:szCs w:val="20"/>
              </w:rPr>
              <w:t xml:space="preserve">Suficientes durante </w:t>
            </w:r>
            <w:r w:rsidR="00CF3FBC" w:rsidRPr="004C5683">
              <w:rPr>
                <w:rFonts w:cs="Times New Roman"/>
                <w:sz w:val="20"/>
                <w:szCs w:val="20"/>
              </w:rPr>
              <w:t>un</w:t>
            </w:r>
            <w:r w:rsidRPr="004C5683">
              <w:rPr>
                <w:rFonts w:cs="Times New Roman"/>
                <w:sz w:val="20"/>
                <w:szCs w:val="20"/>
              </w:rPr>
              <w:t xml:space="preserve"> semestre, con deficiencias en el siguiente, requiere riego</w:t>
            </w:r>
          </w:p>
        </w:tc>
      </w:tr>
      <w:tr w:rsidR="000247A1" w:rsidRPr="004C5683" w14:paraId="2B5AF53D" w14:textId="77777777" w:rsidTr="00392D3F">
        <w:trPr>
          <w:trHeight w:val="287"/>
          <w:jc w:val="center"/>
        </w:trPr>
        <w:tc>
          <w:tcPr>
            <w:tcW w:w="426" w:type="dxa"/>
            <w:tcBorders>
              <w:left w:val="single" w:sz="4" w:space="0" w:color="auto"/>
              <w:bottom w:val="single" w:sz="4" w:space="0" w:color="000000"/>
              <w:right w:val="single" w:sz="4" w:space="0" w:color="000000"/>
            </w:tcBorders>
            <w:shd w:val="clear" w:color="auto" w:fill="auto"/>
            <w:vAlign w:val="bottom"/>
          </w:tcPr>
          <w:p w14:paraId="224AF2CA" w14:textId="77777777" w:rsidR="000247A1" w:rsidRPr="004C5683" w:rsidRDefault="00926F22" w:rsidP="00691C28">
            <w:pPr>
              <w:spacing w:before="0" w:after="0" w:line="360" w:lineRule="auto"/>
              <w:jc w:val="center"/>
              <w:rPr>
                <w:rFonts w:cs="Times New Roman"/>
                <w:sz w:val="20"/>
                <w:szCs w:val="20"/>
              </w:rPr>
            </w:pPr>
            <w:r w:rsidRPr="004C5683">
              <w:rPr>
                <w:rFonts w:cs="Times New Roman"/>
                <w:sz w:val="20"/>
                <w:szCs w:val="20"/>
              </w:rPr>
              <w:t>4</w:t>
            </w:r>
          </w:p>
        </w:tc>
        <w:tc>
          <w:tcPr>
            <w:tcW w:w="7518" w:type="dxa"/>
            <w:tcBorders>
              <w:top w:val="single" w:sz="4" w:space="0" w:color="000000"/>
              <w:bottom w:val="single" w:sz="4" w:space="0" w:color="000000"/>
              <w:right w:val="single" w:sz="4" w:space="0" w:color="auto"/>
            </w:tcBorders>
            <w:shd w:val="clear" w:color="auto" w:fill="auto"/>
            <w:vAlign w:val="bottom"/>
          </w:tcPr>
          <w:p w14:paraId="3050EB2D" w14:textId="1581D959" w:rsidR="000247A1" w:rsidRPr="004C5683" w:rsidRDefault="00926F22" w:rsidP="00F70D71">
            <w:pPr>
              <w:spacing w:before="0" w:after="0" w:line="360" w:lineRule="auto"/>
              <w:rPr>
                <w:rFonts w:cs="Times New Roman"/>
                <w:sz w:val="20"/>
                <w:szCs w:val="20"/>
              </w:rPr>
            </w:pPr>
            <w:r w:rsidRPr="004C5683">
              <w:rPr>
                <w:rFonts w:cs="Times New Roman"/>
                <w:sz w:val="20"/>
                <w:szCs w:val="20"/>
              </w:rPr>
              <w:t xml:space="preserve">Suficientes durante </w:t>
            </w:r>
            <w:r w:rsidR="00CF3FBC" w:rsidRPr="004C5683">
              <w:rPr>
                <w:rFonts w:cs="Times New Roman"/>
                <w:sz w:val="20"/>
                <w:szCs w:val="20"/>
              </w:rPr>
              <w:t>un</w:t>
            </w:r>
            <w:r w:rsidRPr="004C5683">
              <w:rPr>
                <w:rFonts w:cs="Times New Roman"/>
                <w:sz w:val="20"/>
                <w:szCs w:val="20"/>
              </w:rPr>
              <w:t xml:space="preserve"> semestre, con exceso en el siguiente</w:t>
            </w:r>
          </w:p>
        </w:tc>
      </w:tr>
      <w:tr w:rsidR="000247A1" w:rsidRPr="004C5683" w14:paraId="66E16A43" w14:textId="77777777" w:rsidTr="00392D3F">
        <w:trPr>
          <w:trHeight w:val="138"/>
          <w:jc w:val="center"/>
        </w:trPr>
        <w:tc>
          <w:tcPr>
            <w:tcW w:w="426" w:type="dxa"/>
            <w:tcBorders>
              <w:left w:val="single" w:sz="4" w:space="0" w:color="auto"/>
              <w:bottom w:val="single" w:sz="4" w:space="0" w:color="000000"/>
              <w:right w:val="single" w:sz="4" w:space="0" w:color="000000"/>
            </w:tcBorders>
            <w:shd w:val="clear" w:color="auto" w:fill="auto"/>
            <w:vAlign w:val="bottom"/>
          </w:tcPr>
          <w:p w14:paraId="5B7F0178" w14:textId="77777777" w:rsidR="000247A1" w:rsidRPr="004C5683" w:rsidRDefault="00926F22" w:rsidP="00691C28">
            <w:pPr>
              <w:spacing w:before="0" w:after="0" w:line="360" w:lineRule="auto"/>
              <w:jc w:val="center"/>
              <w:rPr>
                <w:rFonts w:cs="Times New Roman"/>
                <w:sz w:val="20"/>
                <w:szCs w:val="20"/>
              </w:rPr>
            </w:pPr>
            <w:r w:rsidRPr="004C5683">
              <w:rPr>
                <w:rFonts w:cs="Times New Roman"/>
                <w:sz w:val="20"/>
                <w:szCs w:val="20"/>
              </w:rPr>
              <w:t>5</w:t>
            </w:r>
          </w:p>
        </w:tc>
        <w:tc>
          <w:tcPr>
            <w:tcW w:w="7518" w:type="dxa"/>
            <w:tcBorders>
              <w:top w:val="single" w:sz="4" w:space="0" w:color="000000"/>
              <w:bottom w:val="single" w:sz="4" w:space="0" w:color="000000"/>
              <w:right w:val="single" w:sz="4" w:space="0" w:color="auto"/>
            </w:tcBorders>
            <w:shd w:val="clear" w:color="auto" w:fill="auto"/>
            <w:vAlign w:val="bottom"/>
          </w:tcPr>
          <w:p w14:paraId="32685068" w14:textId="77777777" w:rsidR="000247A1" w:rsidRPr="004C5683" w:rsidRDefault="00926F22" w:rsidP="00F70D71">
            <w:pPr>
              <w:spacing w:before="0" w:after="0" w:line="360" w:lineRule="auto"/>
              <w:rPr>
                <w:rFonts w:cs="Times New Roman"/>
                <w:sz w:val="20"/>
                <w:szCs w:val="20"/>
              </w:rPr>
            </w:pPr>
            <w:r w:rsidRPr="004C5683">
              <w:rPr>
                <w:rFonts w:cs="Times New Roman"/>
                <w:sz w:val="20"/>
                <w:szCs w:val="20"/>
              </w:rPr>
              <w:t>Exceso durante los dos semestres, permite ciertos cultivos</w:t>
            </w:r>
          </w:p>
        </w:tc>
      </w:tr>
      <w:tr w:rsidR="000247A1" w:rsidRPr="004C5683" w14:paraId="7C60A7EA" w14:textId="77777777" w:rsidTr="00392D3F">
        <w:trPr>
          <w:trHeight w:val="193"/>
          <w:jc w:val="center"/>
        </w:trPr>
        <w:tc>
          <w:tcPr>
            <w:tcW w:w="426" w:type="dxa"/>
            <w:tcBorders>
              <w:left w:val="single" w:sz="4" w:space="0" w:color="auto"/>
              <w:bottom w:val="single" w:sz="4" w:space="0" w:color="000000"/>
              <w:right w:val="single" w:sz="4" w:space="0" w:color="000000"/>
            </w:tcBorders>
            <w:shd w:val="clear" w:color="auto" w:fill="auto"/>
            <w:vAlign w:val="bottom"/>
          </w:tcPr>
          <w:p w14:paraId="70B68D4A" w14:textId="77777777" w:rsidR="000247A1" w:rsidRPr="004C5683" w:rsidRDefault="00926F22" w:rsidP="00691C28">
            <w:pPr>
              <w:spacing w:before="0" w:after="0" w:line="360" w:lineRule="auto"/>
              <w:jc w:val="center"/>
              <w:rPr>
                <w:rFonts w:cs="Times New Roman"/>
                <w:sz w:val="20"/>
                <w:szCs w:val="20"/>
              </w:rPr>
            </w:pPr>
            <w:r w:rsidRPr="004C5683">
              <w:rPr>
                <w:rFonts w:cs="Times New Roman"/>
                <w:sz w:val="20"/>
                <w:szCs w:val="20"/>
              </w:rPr>
              <w:t>6</w:t>
            </w:r>
          </w:p>
        </w:tc>
        <w:tc>
          <w:tcPr>
            <w:tcW w:w="7518" w:type="dxa"/>
            <w:tcBorders>
              <w:top w:val="single" w:sz="4" w:space="0" w:color="000000"/>
              <w:bottom w:val="single" w:sz="4" w:space="0" w:color="000000"/>
              <w:right w:val="single" w:sz="4" w:space="0" w:color="auto"/>
            </w:tcBorders>
            <w:shd w:val="clear" w:color="auto" w:fill="auto"/>
            <w:vAlign w:val="bottom"/>
          </w:tcPr>
          <w:p w14:paraId="265740E0" w14:textId="77777777" w:rsidR="000247A1" w:rsidRPr="004C5683" w:rsidRDefault="00926F22" w:rsidP="00F70D71">
            <w:pPr>
              <w:spacing w:before="0" w:after="0" w:line="360" w:lineRule="auto"/>
              <w:rPr>
                <w:rFonts w:cs="Times New Roman"/>
                <w:sz w:val="20"/>
                <w:szCs w:val="20"/>
              </w:rPr>
            </w:pPr>
            <w:r w:rsidRPr="004C5683">
              <w:rPr>
                <w:rFonts w:cs="Times New Roman"/>
                <w:sz w:val="20"/>
                <w:szCs w:val="20"/>
              </w:rPr>
              <w:t>Deficiencias durante los dos semestres, permite ciertos cultivos</w:t>
            </w:r>
          </w:p>
        </w:tc>
      </w:tr>
      <w:tr w:rsidR="000247A1" w:rsidRPr="004C5683" w14:paraId="6B10827E" w14:textId="77777777" w:rsidTr="00392D3F">
        <w:trPr>
          <w:trHeight w:val="248"/>
          <w:jc w:val="center"/>
        </w:trPr>
        <w:tc>
          <w:tcPr>
            <w:tcW w:w="426" w:type="dxa"/>
            <w:tcBorders>
              <w:left w:val="single" w:sz="4" w:space="0" w:color="auto"/>
              <w:bottom w:val="single" w:sz="4" w:space="0" w:color="000000"/>
              <w:right w:val="single" w:sz="4" w:space="0" w:color="000000"/>
            </w:tcBorders>
            <w:shd w:val="clear" w:color="auto" w:fill="auto"/>
            <w:vAlign w:val="bottom"/>
          </w:tcPr>
          <w:p w14:paraId="2316B458" w14:textId="77777777" w:rsidR="000247A1" w:rsidRPr="004C5683" w:rsidRDefault="00926F22" w:rsidP="00691C28">
            <w:pPr>
              <w:spacing w:before="0" w:after="0" w:line="360" w:lineRule="auto"/>
              <w:jc w:val="center"/>
              <w:rPr>
                <w:rFonts w:cs="Times New Roman"/>
                <w:sz w:val="20"/>
                <w:szCs w:val="20"/>
              </w:rPr>
            </w:pPr>
            <w:r w:rsidRPr="004C5683">
              <w:rPr>
                <w:rFonts w:cs="Times New Roman"/>
                <w:sz w:val="20"/>
                <w:szCs w:val="20"/>
              </w:rPr>
              <w:t>7</w:t>
            </w:r>
          </w:p>
        </w:tc>
        <w:tc>
          <w:tcPr>
            <w:tcW w:w="7518" w:type="dxa"/>
            <w:tcBorders>
              <w:top w:val="single" w:sz="4" w:space="0" w:color="000000"/>
              <w:bottom w:val="single" w:sz="4" w:space="0" w:color="000000"/>
              <w:right w:val="single" w:sz="4" w:space="0" w:color="auto"/>
            </w:tcBorders>
            <w:shd w:val="clear" w:color="auto" w:fill="auto"/>
            <w:vAlign w:val="bottom"/>
          </w:tcPr>
          <w:p w14:paraId="39116305" w14:textId="77777777" w:rsidR="000247A1" w:rsidRPr="004C5683" w:rsidRDefault="00926F22" w:rsidP="00F70D71">
            <w:pPr>
              <w:spacing w:before="0" w:after="0" w:line="360" w:lineRule="auto"/>
              <w:rPr>
                <w:rFonts w:cs="Times New Roman"/>
                <w:sz w:val="20"/>
                <w:szCs w:val="20"/>
              </w:rPr>
            </w:pPr>
            <w:r w:rsidRPr="004C5683">
              <w:rPr>
                <w:rFonts w:cs="Times New Roman"/>
                <w:sz w:val="20"/>
                <w:szCs w:val="20"/>
              </w:rPr>
              <w:t>Exceso durante los dos semestres, no permite cultivos</w:t>
            </w:r>
          </w:p>
        </w:tc>
      </w:tr>
      <w:tr w:rsidR="000247A1" w:rsidRPr="004C5683" w14:paraId="09A6F882" w14:textId="77777777" w:rsidTr="00392D3F">
        <w:trPr>
          <w:trHeight w:val="132"/>
          <w:jc w:val="center"/>
        </w:trPr>
        <w:tc>
          <w:tcPr>
            <w:tcW w:w="426" w:type="dxa"/>
            <w:tcBorders>
              <w:left w:val="single" w:sz="4" w:space="0" w:color="auto"/>
              <w:bottom w:val="single" w:sz="4" w:space="0" w:color="auto"/>
              <w:right w:val="single" w:sz="4" w:space="0" w:color="000000"/>
            </w:tcBorders>
            <w:shd w:val="clear" w:color="auto" w:fill="auto"/>
            <w:vAlign w:val="bottom"/>
          </w:tcPr>
          <w:p w14:paraId="736B0725" w14:textId="77777777" w:rsidR="000247A1" w:rsidRPr="004C5683" w:rsidRDefault="00926F22" w:rsidP="00691C28">
            <w:pPr>
              <w:spacing w:before="0" w:after="0" w:line="360" w:lineRule="auto"/>
              <w:jc w:val="center"/>
              <w:rPr>
                <w:rFonts w:cs="Times New Roman"/>
                <w:sz w:val="20"/>
                <w:szCs w:val="20"/>
              </w:rPr>
            </w:pPr>
            <w:r w:rsidRPr="004C5683">
              <w:rPr>
                <w:rFonts w:cs="Times New Roman"/>
                <w:sz w:val="20"/>
                <w:szCs w:val="20"/>
              </w:rPr>
              <w:t>8</w:t>
            </w:r>
          </w:p>
        </w:tc>
        <w:tc>
          <w:tcPr>
            <w:tcW w:w="7518" w:type="dxa"/>
            <w:tcBorders>
              <w:top w:val="single" w:sz="4" w:space="0" w:color="000000"/>
              <w:bottom w:val="single" w:sz="4" w:space="0" w:color="auto"/>
              <w:right w:val="single" w:sz="4" w:space="0" w:color="auto"/>
            </w:tcBorders>
            <w:shd w:val="clear" w:color="auto" w:fill="auto"/>
            <w:vAlign w:val="bottom"/>
          </w:tcPr>
          <w:p w14:paraId="6BFDFB84" w14:textId="77777777" w:rsidR="000247A1" w:rsidRPr="004C5683" w:rsidRDefault="00926F22" w:rsidP="00F70D71">
            <w:pPr>
              <w:spacing w:before="0" w:after="0" w:line="360" w:lineRule="auto"/>
              <w:rPr>
                <w:rFonts w:cs="Times New Roman"/>
                <w:sz w:val="20"/>
                <w:szCs w:val="20"/>
              </w:rPr>
            </w:pPr>
            <w:r w:rsidRPr="004C5683">
              <w:rPr>
                <w:rFonts w:cs="Times New Roman"/>
                <w:sz w:val="20"/>
                <w:szCs w:val="20"/>
              </w:rPr>
              <w:t>Deficiencias durante los dos semestres, no permite cultivos</w:t>
            </w:r>
          </w:p>
        </w:tc>
      </w:tr>
    </w:tbl>
    <w:p w14:paraId="659848F3" w14:textId="633BB77F" w:rsidR="000247A1" w:rsidRPr="004C5683" w:rsidRDefault="00522F19" w:rsidP="00243BD9">
      <w:pPr>
        <w:spacing w:before="0" w:line="240" w:lineRule="auto"/>
        <w:rPr>
          <w:rFonts w:cs="Times New Roman"/>
          <w:sz w:val="20"/>
          <w:szCs w:val="20"/>
        </w:rPr>
      </w:pPr>
      <w:r w:rsidRPr="004C5683">
        <w:rPr>
          <w:rFonts w:cs="Times New Roman"/>
          <w:sz w:val="20"/>
          <w:szCs w:val="20"/>
        </w:rPr>
        <w:t xml:space="preserve">             </w:t>
      </w:r>
      <w:r w:rsidR="00926F22" w:rsidRPr="004C5683">
        <w:rPr>
          <w:rFonts w:cs="Times New Roman"/>
          <w:sz w:val="20"/>
          <w:szCs w:val="20"/>
        </w:rPr>
        <w:t>Fuente: IGAC (2014).</w:t>
      </w:r>
    </w:p>
    <w:p w14:paraId="1E33752F" w14:textId="0EC471D1" w:rsidR="000247A1" w:rsidRPr="00F70D71" w:rsidRDefault="00926F22" w:rsidP="00392D3F">
      <w:pPr>
        <w:spacing w:before="0" w:after="0" w:line="240" w:lineRule="auto"/>
        <w:ind w:firstLine="567"/>
        <w:rPr>
          <w:rFonts w:cs="Times New Roman"/>
          <w:sz w:val="24"/>
          <w:szCs w:val="24"/>
        </w:rPr>
      </w:pPr>
      <w:r w:rsidRPr="00F70D71">
        <w:rPr>
          <w:rFonts w:cs="Times New Roman"/>
          <w:sz w:val="24"/>
          <w:szCs w:val="24"/>
        </w:rPr>
        <w:t>La definición cuantitativa de los valores suficientes durante un semestre correspondió a la lámina de agua por día, que excede la capacidad de almacenamiento de agua (CA) en el suelo en un límite de 50% durante 90 días; la categoría deficiente cuando se mantuviera por debajo del 50% y</w:t>
      </w:r>
      <w:r w:rsidR="00376AAE">
        <w:rPr>
          <w:rFonts w:cs="Times New Roman"/>
          <w:sz w:val="24"/>
          <w:szCs w:val="24"/>
        </w:rPr>
        <w:t>,</w:t>
      </w:r>
      <w:r w:rsidRPr="00F70D71">
        <w:rPr>
          <w:rFonts w:cs="Times New Roman"/>
          <w:sz w:val="24"/>
          <w:szCs w:val="24"/>
        </w:rPr>
        <w:t xml:space="preserve"> cuando hay necesidad de riego suplementario toda vez que la </w:t>
      </w:r>
      <w:r w:rsidR="00F92E9C">
        <w:rPr>
          <w:rFonts w:cs="Times New Roman"/>
          <w:sz w:val="24"/>
          <w:szCs w:val="24"/>
        </w:rPr>
        <w:t>capacidad de almacenamiento de agua</w:t>
      </w:r>
      <w:r w:rsidRPr="00F70D71">
        <w:rPr>
          <w:rFonts w:cs="Times New Roman"/>
          <w:sz w:val="24"/>
          <w:szCs w:val="24"/>
        </w:rPr>
        <w:t xml:space="preserve"> esté por debajo del 25%, en ambos casos que se mantuviesen por 90 días en el semestre. De igual manera se realizó el conteo del número de días con excesos, aquellos en los cuales los aportes de las lluvias superan la capacidad de almacenamiento. La estimación de la cantidad de agua disponible en el suelo, durante el año, permitió precisar con mayor detalle la oferta de agua para los cultivos y fue el criterio utilizado para evaluar los cambios en la clasificación de capacidad de uso cuando se utiliza el método convencional de determinar la disponibilidad de agua acorde con la distribución de lluvias durante el año (</w:t>
      </w:r>
      <w:r w:rsidR="006F0986">
        <w:rPr>
          <w:rFonts w:cs="Times New Roman"/>
          <w:sz w:val="24"/>
          <w:szCs w:val="24"/>
        </w:rPr>
        <w:t xml:space="preserve">IGAC, </w:t>
      </w:r>
      <w:r w:rsidRPr="00F70D71">
        <w:rPr>
          <w:rFonts w:cs="Times New Roman"/>
          <w:sz w:val="24"/>
          <w:szCs w:val="24"/>
        </w:rPr>
        <w:t>2014).</w:t>
      </w:r>
    </w:p>
    <w:p w14:paraId="37235CEC" w14:textId="77777777" w:rsidR="000247A1" w:rsidRPr="00F70D71" w:rsidRDefault="00926F22" w:rsidP="00392D3F">
      <w:pPr>
        <w:spacing w:before="0" w:after="0" w:line="240" w:lineRule="auto"/>
        <w:ind w:firstLine="567"/>
        <w:rPr>
          <w:rFonts w:cs="Times New Roman"/>
          <w:sz w:val="24"/>
          <w:szCs w:val="24"/>
        </w:rPr>
      </w:pPr>
      <w:r w:rsidRPr="00F70D71">
        <w:rPr>
          <w:rFonts w:cs="Times New Roman"/>
          <w:sz w:val="24"/>
          <w:szCs w:val="24"/>
        </w:rPr>
        <w:t>El procedimiento de cuantificar el número de días durante el año, en los que el agua está o no presente en el suelo también fue realizado para las fases de oscilación climática, El Niño y La Niña, información proveniente de la Normal Climatológica (1981-2011) del IDEAM. Esto con el fin de identificar la disponibilidad, déficit o excesos de agua en el suelo, así como los excesos de agua que superan al límite líquido del suelo, condiciones importantes como instrumentos de planificación. Entendiendo que la variación de las precipitaciones en la zona de estudio indica que para la fase El Niño las lluvias tienen a disminuir y en la Niña hay mayor oferta de las lluvias y menor pérdida por evapotranspiración.</w:t>
      </w:r>
    </w:p>
    <w:p w14:paraId="62B0A332" w14:textId="72F1BA89" w:rsidR="000247A1" w:rsidRDefault="007D6F74" w:rsidP="00392D3F">
      <w:pPr>
        <w:spacing w:before="0" w:after="0" w:line="240" w:lineRule="auto"/>
        <w:ind w:firstLine="567"/>
        <w:rPr>
          <w:rFonts w:cs="Times New Roman"/>
          <w:sz w:val="24"/>
          <w:szCs w:val="24"/>
        </w:rPr>
      </w:pPr>
      <w:r>
        <w:rPr>
          <w:rFonts w:cs="Times New Roman"/>
          <w:sz w:val="24"/>
          <w:szCs w:val="24"/>
        </w:rPr>
        <w:t xml:space="preserve">Una prueba física </w:t>
      </w:r>
      <w:r w:rsidR="00E353EF">
        <w:rPr>
          <w:rFonts w:cs="Times New Roman"/>
          <w:sz w:val="24"/>
          <w:szCs w:val="24"/>
        </w:rPr>
        <w:t xml:space="preserve">adicional </w:t>
      </w:r>
      <w:r>
        <w:rPr>
          <w:rFonts w:cs="Times New Roman"/>
          <w:sz w:val="24"/>
          <w:szCs w:val="24"/>
        </w:rPr>
        <w:t>realiza</w:t>
      </w:r>
      <w:r w:rsidR="00E353EF">
        <w:rPr>
          <w:rFonts w:cs="Times New Roman"/>
          <w:sz w:val="24"/>
          <w:szCs w:val="24"/>
        </w:rPr>
        <w:t>da</w:t>
      </w:r>
      <w:r>
        <w:rPr>
          <w:rFonts w:cs="Times New Roman"/>
          <w:sz w:val="24"/>
          <w:szCs w:val="24"/>
        </w:rPr>
        <w:t xml:space="preserve"> en el </w:t>
      </w:r>
      <w:r w:rsidR="005009F4">
        <w:rPr>
          <w:rFonts w:cs="Times New Roman"/>
          <w:sz w:val="24"/>
          <w:szCs w:val="24"/>
        </w:rPr>
        <w:t>L</w:t>
      </w:r>
      <w:r>
        <w:rPr>
          <w:rFonts w:cs="Times New Roman"/>
          <w:sz w:val="24"/>
          <w:szCs w:val="24"/>
        </w:rPr>
        <w:t xml:space="preserve">aboratorio </w:t>
      </w:r>
      <w:r w:rsidR="005009F4">
        <w:rPr>
          <w:rFonts w:cs="Times New Roman"/>
          <w:sz w:val="24"/>
          <w:szCs w:val="24"/>
        </w:rPr>
        <w:t>N</w:t>
      </w:r>
      <w:r>
        <w:rPr>
          <w:rFonts w:cs="Times New Roman"/>
          <w:sz w:val="24"/>
          <w:szCs w:val="24"/>
        </w:rPr>
        <w:t xml:space="preserve">acional de </w:t>
      </w:r>
      <w:r w:rsidR="005009F4">
        <w:rPr>
          <w:rFonts w:cs="Times New Roman"/>
          <w:sz w:val="24"/>
          <w:szCs w:val="24"/>
        </w:rPr>
        <w:t>S</w:t>
      </w:r>
      <w:r>
        <w:rPr>
          <w:rFonts w:cs="Times New Roman"/>
          <w:sz w:val="24"/>
          <w:szCs w:val="24"/>
        </w:rPr>
        <w:t xml:space="preserve">uelos </w:t>
      </w:r>
      <w:r w:rsidR="00E353EF">
        <w:rPr>
          <w:rFonts w:cs="Times New Roman"/>
          <w:sz w:val="24"/>
          <w:szCs w:val="24"/>
        </w:rPr>
        <w:t>fue</w:t>
      </w:r>
      <w:r>
        <w:rPr>
          <w:rFonts w:cs="Times New Roman"/>
          <w:sz w:val="24"/>
          <w:szCs w:val="24"/>
        </w:rPr>
        <w:t xml:space="preserve"> el índice de plasticidad que incluy</w:t>
      </w:r>
      <w:r w:rsidR="00376AAE">
        <w:rPr>
          <w:rFonts w:cs="Times New Roman"/>
          <w:sz w:val="24"/>
          <w:szCs w:val="24"/>
        </w:rPr>
        <w:t>ó</w:t>
      </w:r>
      <w:r>
        <w:rPr>
          <w:rFonts w:cs="Times New Roman"/>
          <w:sz w:val="24"/>
          <w:szCs w:val="24"/>
        </w:rPr>
        <w:t xml:space="preserve"> dos parámetros el límite líquido y el límite plástico; el primero de ellos (liquido) </w:t>
      </w:r>
      <w:r w:rsidR="00926F22" w:rsidRPr="00F70D71">
        <w:rPr>
          <w:rFonts w:cs="Times New Roman"/>
          <w:sz w:val="24"/>
          <w:szCs w:val="24"/>
        </w:rPr>
        <w:t xml:space="preserve">se empleó para determinar el contenido de agua con el cual el suelo </w:t>
      </w:r>
      <w:r w:rsidR="00B74082">
        <w:rPr>
          <w:rFonts w:cs="Times New Roman"/>
          <w:sz w:val="24"/>
          <w:szCs w:val="24"/>
        </w:rPr>
        <w:t>puede</w:t>
      </w:r>
      <w:r w:rsidR="00926F22" w:rsidRPr="00F70D71">
        <w:rPr>
          <w:rFonts w:cs="Times New Roman"/>
          <w:sz w:val="24"/>
          <w:szCs w:val="24"/>
        </w:rPr>
        <w:t xml:space="preserve"> fluir</w:t>
      </w:r>
      <w:r w:rsidR="00B74082">
        <w:rPr>
          <w:rFonts w:cs="Times New Roman"/>
          <w:sz w:val="24"/>
          <w:szCs w:val="24"/>
        </w:rPr>
        <w:t xml:space="preserve"> en pendientes superiores al 30%</w:t>
      </w:r>
      <w:r w:rsidR="00926F22" w:rsidRPr="00F70D71">
        <w:rPr>
          <w:rFonts w:cs="Times New Roman"/>
          <w:sz w:val="24"/>
          <w:szCs w:val="24"/>
        </w:rPr>
        <w:t xml:space="preserve"> con</w:t>
      </w:r>
      <w:r w:rsidR="00B74082">
        <w:rPr>
          <w:rFonts w:cs="Times New Roman"/>
          <w:sz w:val="24"/>
          <w:szCs w:val="24"/>
        </w:rPr>
        <w:t xml:space="preserve"> la aplicación de bajos</w:t>
      </w:r>
      <w:r w:rsidR="00926F22" w:rsidRPr="00F70D71">
        <w:rPr>
          <w:rFonts w:cs="Times New Roman"/>
          <w:sz w:val="24"/>
          <w:szCs w:val="24"/>
        </w:rPr>
        <w:t xml:space="preserve"> esfuerzos</w:t>
      </w:r>
      <w:r w:rsidR="00B74082">
        <w:rPr>
          <w:rFonts w:cs="Times New Roman"/>
          <w:sz w:val="24"/>
          <w:szCs w:val="24"/>
        </w:rPr>
        <w:t xml:space="preserve"> </w:t>
      </w:r>
      <w:r w:rsidR="00B74082" w:rsidRPr="00665FE1">
        <w:rPr>
          <w:rFonts w:cs="Times New Roman"/>
          <w:sz w:val="24"/>
          <w:szCs w:val="24"/>
        </w:rPr>
        <w:t>(</w:t>
      </w:r>
      <w:r w:rsidR="00323DC3" w:rsidRPr="00665FE1">
        <w:rPr>
          <w:rFonts w:cs="Times New Roman"/>
          <w:sz w:val="24"/>
          <w:szCs w:val="24"/>
        </w:rPr>
        <w:t>Suarez</w:t>
      </w:r>
      <w:r w:rsidR="00D834C8" w:rsidRPr="00665FE1">
        <w:rPr>
          <w:rFonts w:cs="Times New Roman"/>
          <w:sz w:val="24"/>
          <w:szCs w:val="24"/>
        </w:rPr>
        <w:t xml:space="preserve"> de Castro</w:t>
      </w:r>
      <w:r w:rsidR="00DC77B3" w:rsidRPr="00665FE1">
        <w:rPr>
          <w:rFonts w:cs="Times New Roman"/>
          <w:sz w:val="24"/>
          <w:szCs w:val="24"/>
        </w:rPr>
        <w:t>,</w:t>
      </w:r>
      <w:r w:rsidR="00323DC3" w:rsidRPr="00665FE1">
        <w:rPr>
          <w:rFonts w:cs="Times New Roman"/>
          <w:sz w:val="24"/>
          <w:szCs w:val="24"/>
        </w:rPr>
        <w:t xml:space="preserve"> 19</w:t>
      </w:r>
      <w:r w:rsidR="00D834C8" w:rsidRPr="00665FE1">
        <w:rPr>
          <w:rFonts w:cs="Times New Roman"/>
          <w:sz w:val="24"/>
          <w:szCs w:val="24"/>
        </w:rPr>
        <w:t>82</w:t>
      </w:r>
      <w:r w:rsidR="00B74082">
        <w:rPr>
          <w:rFonts w:cs="Times New Roman"/>
          <w:sz w:val="24"/>
          <w:szCs w:val="24"/>
        </w:rPr>
        <w:t>)</w:t>
      </w:r>
      <w:r w:rsidR="00926F22" w:rsidRPr="00F70D71">
        <w:rPr>
          <w:rFonts w:cs="Times New Roman"/>
          <w:sz w:val="24"/>
          <w:szCs w:val="24"/>
        </w:rPr>
        <w:t xml:space="preserve">. De ahí que se utilizó este valor estimado en </w:t>
      </w:r>
      <w:r w:rsidR="00DC77B3">
        <w:rPr>
          <w:rFonts w:cs="Times New Roman"/>
          <w:sz w:val="24"/>
          <w:szCs w:val="24"/>
        </w:rPr>
        <w:t>milímetros</w:t>
      </w:r>
      <w:r w:rsidR="00926F22" w:rsidRPr="00F70D71">
        <w:rPr>
          <w:rFonts w:cs="Times New Roman"/>
          <w:sz w:val="24"/>
          <w:szCs w:val="24"/>
        </w:rPr>
        <w:t xml:space="preserve"> para encontrar, a través de los balances hídricos, el número de días en los que pueden presentar</w:t>
      </w:r>
      <w:r w:rsidR="00DC77B3">
        <w:rPr>
          <w:rFonts w:cs="Times New Roman"/>
          <w:sz w:val="24"/>
          <w:szCs w:val="24"/>
        </w:rPr>
        <w:t>se</w:t>
      </w:r>
      <w:r w:rsidR="00926F22" w:rsidRPr="00F70D71">
        <w:rPr>
          <w:rFonts w:cs="Times New Roman"/>
          <w:sz w:val="24"/>
          <w:szCs w:val="24"/>
        </w:rPr>
        <w:t xml:space="preserve"> excesos de agua en el primer horizonte, </w:t>
      </w:r>
      <w:r w:rsidR="00DC77B3">
        <w:rPr>
          <w:rFonts w:cs="Times New Roman"/>
          <w:sz w:val="24"/>
          <w:szCs w:val="24"/>
        </w:rPr>
        <w:t>para</w:t>
      </w:r>
      <w:r w:rsidR="00926F22" w:rsidRPr="00F70D71">
        <w:rPr>
          <w:rFonts w:cs="Times New Roman"/>
          <w:sz w:val="24"/>
          <w:szCs w:val="24"/>
        </w:rPr>
        <w:t xml:space="preserve"> cada </w:t>
      </w:r>
      <w:r w:rsidR="00522F19">
        <w:rPr>
          <w:rFonts w:cs="Times New Roman"/>
          <w:sz w:val="24"/>
          <w:szCs w:val="24"/>
        </w:rPr>
        <w:t xml:space="preserve">uno </w:t>
      </w:r>
      <w:r w:rsidR="00BB43AE">
        <w:rPr>
          <w:rFonts w:cs="Times New Roman"/>
          <w:sz w:val="24"/>
          <w:szCs w:val="24"/>
        </w:rPr>
        <w:t xml:space="preserve">de los 55 </w:t>
      </w:r>
      <w:r w:rsidR="00926F22" w:rsidRPr="00F70D71">
        <w:rPr>
          <w:rFonts w:cs="Times New Roman"/>
          <w:sz w:val="24"/>
          <w:szCs w:val="24"/>
        </w:rPr>
        <w:t>sitio</w:t>
      </w:r>
      <w:r w:rsidR="00BB43AE">
        <w:rPr>
          <w:rFonts w:cs="Times New Roman"/>
          <w:sz w:val="24"/>
          <w:szCs w:val="24"/>
        </w:rPr>
        <w:t>s</w:t>
      </w:r>
      <w:r w:rsidR="00926F22" w:rsidRPr="00F70D71">
        <w:rPr>
          <w:rFonts w:cs="Times New Roman"/>
          <w:sz w:val="24"/>
          <w:szCs w:val="24"/>
        </w:rPr>
        <w:t xml:space="preserve"> de muestreo. Dicho resultado podría ser un indicador de una alta probabilidad de movimientos en masa, cuando la condición de humedad super</w:t>
      </w:r>
      <w:r>
        <w:rPr>
          <w:rFonts w:cs="Times New Roman"/>
          <w:sz w:val="24"/>
          <w:szCs w:val="24"/>
        </w:rPr>
        <w:t>a</w:t>
      </w:r>
      <w:r w:rsidR="00926F22" w:rsidRPr="00F70D71">
        <w:rPr>
          <w:rFonts w:cs="Times New Roman"/>
          <w:sz w:val="24"/>
          <w:szCs w:val="24"/>
        </w:rPr>
        <w:t xml:space="preserve"> e</w:t>
      </w:r>
      <w:r w:rsidR="0065720D">
        <w:rPr>
          <w:rFonts w:cs="Times New Roman"/>
          <w:sz w:val="24"/>
          <w:szCs w:val="24"/>
        </w:rPr>
        <w:t>l</w:t>
      </w:r>
      <w:r w:rsidR="00926F22" w:rsidRPr="00F70D71">
        <w:rPr>
          <w:rFonts w:cs="Times New Roman"/>
          <w:sz w:val="24"/>
          <w:szCs w:val="24"/>
        </w:rPr>
        <w:t xml:space="preserve"> valor de almacenamiento de agua en el suelo. En la presente aplicación se tomó como un elemento caracterizador de la degradación de suelos</w:t>
      </w:r>
      <w:r w:rsidR="0057592F">
        <w:rPr>
          <w:rFonts w:cs="Times New Roman"/>
          <w:sz w:val="24"/>
          <w:szCs w:val="24"/>
        </w:rPr>
        <w:t xml:space="preserve"> a</w:t>
      </w:r>
      <w:r w:rsidR="00CB118A">
        <w:rPr>
          <w:rFonts w:cs="Times New Roman"/>
          <w:sz w:val="24"/>
          <w:szCs w:val="24"/>
        </w:rPr>
        <w:t xml:space="preserve"> la presencia de</w:t>
      </w:r>
      <w:r w:rsidR="00926F22" w:rsidRPr="00F70D71">
        <w:rPr>
          <w:rFonts w:cs="Times New Roman"/>
          <w:sz w:val="24"/>
          <w:szCs w:val="24"/>
        </w:rPr>
        <w:t xml:space="preserve"> derrumbes</w:t>
      </w:r>
      <w:r w:rsidR="00F951C4">
        <w:rPr>
          <w:rFonts w:cs="Times New Roman"/>
          <w:sz w:val="24"/>
          <w:szCs w:val="24"/>
        </w:rPr>
        <w:t xml:space="preserve"> </w:t>
      </w:r>
      <w:r w:rsidR="00FA4DA8">
        <w:rPr>
          <w:rFonts w:cs="Times New Roman"/>
          <w:sz w:val="24"/>
          <w:szCs w:val="24"/>
        </w:rPr>
        <w:t>los cuales pu</w:t>
      </w:r>
      <w:r w:rsidR="00F951C4">
        <w:rPr>
          <w:rFonts w:cs="Times New Roman"/>
          <w:sz w:val="24"/>
          <w:szCs w:val="24"/>
        </w:rPr>
        <w:t>dieron</w:t>
      </w:r>
      <w:r w:rsidR="00FA4DA8">
        <w:rPr>
          <w:rFonts w:cs="Times New Roman"/>
          <w:sz w:val="24"/>
          <w:szCs w:val="24"/>
        </w:rPr>
        <w:t xml:space="preserve"> identificarse en campo a través de cicatrices de despeje </w:t>
      </w:r>
      <w:r w:rsidR="00F951C4">
        <w:rPr>
          <w:rFonts w:cs="Times New Roman"/>
          <w:sz w:val="24"/>
          <w:szCs w:val="24"/>
        </w:rPr>
        <w:t>y</w:t>
      </w:r>
      <w:r w:rsidR="00FA4DA8">
        <w:rPr>
          <w:rFonts w:cs="Times New Roman"/>
          <w:sz w:val="24"/>
          <w:szCs w:val="24"/>
        </w:rPr>
        <w:t xml:space="preserve"> por la </w:t>
      </w:r>
      <w:r w:rsidR="00926F22" w:rsidRPr="00F70D71">
        <w:rPr>
          <w:rFonts w:cs="Times New Roman"/>
          <w:sz w:val="24"/>
          <w:szCs w:val="24"/>
        </w:rPr>
        <w:t xml:space="preserve">presencia de golpes de cuchara en </w:t>
      </w:r>
      <w:r w:rsidR="00FA4DA8">
        <w:rPr>
          <w:rFonts w:cs="Times New Roman"/>
          <w:sz w:val="24"/>
          <w:szCs w:val="24"/>
        </w:rPr>
        <w:t>las laderas de montaña</w:t>
      </w:r>
      <w:r w:rsidR="0057592F">
        <w:rPr>
          <w:rFonts w:cs="Times New Roman"/>
          <w:sz w:val="24"/>
          <w:szCs w:val="24"/>
        </w:rPr>
        <w:t>,</w:t>
      </w:r>
      <w:r w:rsidR="00CB118A">
        <w:rPr>
          <w:rFonts w:cs="Times New Roman"/>
          <w:sz w:val="24"/>
          <w:szCs w:val="24"/>
        </w:rPr>
        <w:t xml:space="preserve"> </w:t>
      </w:r>
      <w:r w:rsidR="0057592F">
        <w:rPr>
          <w:rFonts w:cs="Times New Roman"/>
          <w:sz w:val="24"/>
          <w:szCs w:val="24"/>
        </w:rPr>
        <w:t>e</w:t>
      </w:r>
      <w:r w:rsidR="00CB118A">
        <w:rPr>
          <w:rFonts w:cs="Times New Roman"/>
          <w:sz w:val="24"/>
          <w:szCs w:val="24"/>
        </w:rPr>
        <w:t>n contraste con la investigación realizada por Palacios (2020) quien dio prioridad a la susceptibilidad que tienen intrínsecamente los paisajes a la erosión con la aplicación de</w:t>
      </w:r>
      <w:r w:rsidR="0057592F">
        <w:rPr>
          <w:rFonts w:cs="Times New Roman"/>
          <w:sz w:val="24"/>
          <w:szCs w:val="24"/>
        </w:rPr>
        <w:t xml:space="preserve"> la</w:t>
      </w:r>
      <w:r w:rsidR="00CB118A">
        <w:rPr>
          <w:rFonts w:cs="Times New Roman"/>
          <w:sz w:val="24"/>
          <w:szCs w:val="24"/>
        </w:rPr>
        <w:t xml:space="preserve"> </w:t>
      </w:r>
      <w:r w:rsidR="0057592F">
        <w:rPr>
          <w:rFonts w:cs="Times New Roman"/>
          <w:sz w:val="24"/>
          <w:szCs w:val="24"/>
        </w:rPr>
        <w:t xml:space="preserve">técnica </w:t>
      </w:r>
      <w:proofErr w:type="spellStart"/>
      <w:r w:rsidR="0057592F">
        <w:rPr>
          <w:rFonts w:cs="Times New Roman"/>
          <w:sz w:val="24"/>
          <w:szCs w:val="24"/>
        </w:rPr>
        <w:t>geomática</w:t>
      </w:r>
      <w:proofErr w:type="spellEnd"/>
      <w:r w:rsidR="0057592F">
        <w:rPr>
          <w:rFonts w:cs="Times New Roman"/>
          <w:sz w:val="24"/>
          <w:szCs w:val="24"/>
        </w:rPr>
        <w:t xml:space="preserve"> denominada</w:t>
      </w:r>
      <w:r w:rsidR="00CB118A">
        <w:rPr>
          <w:rFonts w:cs="Times New Roman"/>
          <w:sz w:val="24"/>
          <w:szCs w:val="24"/>
        </w:rPr>
        <w:t xml:space="preserve"> lógica difusa</w:t>
      </w:r>
      <w:r w:rsidR="0057592F">
        <w:rPr>
          <w:rFonts w:cs="Times New Roman"/>
          <w:sz w:val="24"/>
          <w:szCs w:val="24"/>
        </w:rPr>
        <w:t>, con la generación de</w:t>
      </w:r>
      <w:r w:rsidR="00CB118A">
        <w:rPr>
          <w:rFonts w:cs="Times New Roman"/>
          <w:sz w:val="24"/>
          <w:szCs w:val="24"/>
        </w:rPr>
        <w:t xml:space="preserve"> mapas de pendientes</w:t>
      </w:r>
      <w:r w:rsidR="0057592F">
        <w:rPr>
          <w:rFonts w:cs="Times New Roman"/>
          <w:sz w:val="24"/>
          <w:szCs w:val="24"/>
        </w:rPr>
        <w:t xml:space="preserve"> en formato </w:t>
      </w:r>
      <w:proofErr w:type="spellStart"/>
      <w:r w:rsidR="0057592F">
        <w:rPr>
          <w:rFonts w:cs="Times New Roman"/>
          <w:sz w:val="24"/>
          <w:szCs w:val="24"/>
        </w:rPr>
        <w:t>raster</w:t>
      </w:r>
      <w:proofErr w:type="spellEnd"/>
      <w:r w:rsidR="0057592F">
        <w:rPr>
          <w:rFonts w:cs="Times New Roman"/>
          <w:sz w:val="24"/>
          <w:szCs w:val="24"/>
        </w:rPr>
        <w:t xml:space="preserve"> y como detonantes de los procesos erosivos </w:t>
      </w:r>
      <w:r w:rsidR="005009F4">
        <w:rPr>
          <w:rFonts w:cs="Times New Roman"/>
          <w:sz w:val="24"/>
          <w:szCs w:val="24"/>
        </w:rPr>
        <w:t xml:space="preserve">presentó </w:t>
      </w:r>
      <w:r w:rsidR="0057592F">
        <w:rPr>
          <w:rFonts w:cs="Times New Roman"/>
          <w:sz w:val="24"/>
          <w:szCs w:val="24"/>
        </w:rPr>
        <w:lastRenderedPageBreak/>
        <w:t xml:space="preserve">la apertura de vías </w:t>
      </w:r>
      <w:r w:rsidR="005009F4">
        <w:rPr>
          <w:rFonts w:cs="Times New Roman"/>
          <w:sz w:val="24"/>
          <w:szCs w:val="24"/>
        </w:rPr>
        <w:t>y</w:t>
      </w:r>
      <w:r w:rsidR="0057592F">
        <w:rPr>
          <w:rFonts w:cs="Times New Roman"/>
          <w:sz w:val="24"/>
          <w:szCs w:val="24"/>
        </w:rPr>
        <w:t xml:space="preserve"> la intervención humana</w:t>
      </w:r>
      <w:r w:rsidR="005009F4">
        <w:rPr>
          <w:rFonts w:cs="Times New Roman"/>
          <w:sz w:val="24"/>
          <w:szCs w:val="24"/>
        </w:rPr>
        <w:t>;</w:t>
      </w:r>
      <w:r w:rsidR="0057592F">
        <w:rPr>
          <w:rFonts w:cs="Times New Roman"/>
          <w:sz w:val="24"/>
          <w:szCs w:val="24"/>
        </w:rPr>
        <w:t xml:space="preserve"> para ese caso específico</w:t>
      </w:r>
      <w:r w:rsidR="005009F4">
        <w:rPr>
          <w:rFonts w:cs="Times New Roman"/>
          <w:sz w:val="24"/>
          <w:szCs w:val="24"/>
        </w:rPr>
        <w:t>,</w:t>
      </w:r>
      <w:r w:rsidR="0057592F">
        <w:rPr>
          <w:rFonts w:cs="Times New Roman"/>
          <w:sz w:val="24"/>
          <w:szCs w:val="24"/>
        </w:rPr>
        <w:t xml:space="preserve"> la vulnerabilidad procede de la intervención antrópica, mientras que para el caso de estudio se analiza la cuenca de la quebrada Barbillas en su condición natural</w:t>
      </w:r>
      <w:r w:rsidR="00CB118A">
        <w:rPr>
          <w:rFonts w:cs="Times New Roman"/>
          <w:sz w:val="24"/>
          <w:szCs w:val="24"/>
        </w:rPr>
        <w:t>.</w:t>
      </w:r>
    </w:p>
    <w:p w14:paraId="128710C8" w14:textId="77777777" w:rsidR="00392D3F" w:rsidRPr="00F70D71" w:rsidRDefault="00392D3F" w:rsidP="00392D3F">
      <w:pPr>
        <w:spacing w:before="0" w:after="0" w:line="240" w:lineRule="auto"/>
        <w:ind w:firstLine="567"/>
        <w:rPr>
          <w:rFonts w:cs="Times New Roman"/>
          <w:sz w:val="24"/>
          <w:szCs w:val="24"/>
        </w:rPr>
      </w:pPr>
    </w:p>
    <w:p w14:paraId="6916B475" w14:textId="6BFB3B21" w:rsidR="000247A1" w:rsidRDefault="00623A8A" w:rsidP="00392D3F">
      <w:pPr>
        <w:spacing w:before="0" w:after="0" w:line="240" w:lineRule="auto"/>
        <w:rPr>
          <w:rFonts w:cs="Times New Roman"/>
          <w:b/>
          <w:sz w:val="24"/>
          <w:szCs w:val="24"/>
        </w:rPr>
      </w:pPr>
      <w:r w:rsidRPr="00623A8A">
        <w:rPr>
          <w:rFonts w:cs="Times New Roman"/>
          <w:b/>
          <w:sz w:val="24"/>
          <w:szCs w:val="24"/>
        </w:rPr>
        <w:t>RESULTADOS Y DISCUSIÓN</w:t>
      </w:r>
    </w:p>
    <w:p w14:paraId="7019D1FB" w14:textId="77777777" w:rsidR="00392D3F" w:rsidRPr="00623A8A" w:rsidRDefault="00392D3F" w:rsidP="00392D3F">
      <w:pPr>
        <w:spacing w:before="0" w:after="0" w:line="240" w:lineRule="auto"/>
        <w:rPr>
          <w:rFonts w:cs="Times New Roman"/>
          <w:b/>
          <w:sz w:val="24"/>
          <w:szCs w:val="24"/>
        </w:rPr>
      </w:pPr>
    </w:p>
    <w:p w14:paraId="2715C9F1" w14:textId="3D11C662" w:rsidR="000247A1" w:rsidRDefault="00926F22" w:rsidP="00392D3F">
      <w:pPr>
        <w:spacing w:before="0" w:after="0" w:line="240" w:lineRule="auto"/>
        <w:ind w:firstLine="567"/>
        <w:rPr>
          <w:rFonts w:cs="Times New Roman"/>
          <w:sz w:val="24"/>
          <w:szCs w:val="24"/>
        </w:rPr>
      </w:pPr>
      <w:r w:rsidRPr="00F70D71">
        <w:rPr>
          <w:rFonts w:cs="Times New Roman"/>
          <w:sz w:val="24"/>
          <w:szCs w:val="24"/>
        </w:rPr>
        <w:t xml:space="preserve">Los datos provenientes del Estudio Nacional del Agua - ENA debieron acondicionarse para el análisis espacial, mediante, la caracterización hidráulica de la microcuenca y a partir del análisis </w:t>
      </w:r>
      <w:proofErr w:type="spellStart"/>
      <w:r w:rsidRPr="00F70D71">
        <w:rPr>
          <w:rFonts w:cs="Times New Roman"/>
          <w:sz w:val="24"/>
          <w:szCs w:val="24"/>
        </w:rPr>
        <w:t>morfométrico</w:t>
      </w:r>
      <w:proofErr w:type="spellEnd"/>
      <w:r w:rsidRPr="00F70D71">
        <w:rPr>
          <w:rFonts w:cs="Times New Roman"/>
          <w:sz w:val="24"/>
          <w:szCs w:val="24"/>
        </w:rPr>
        <w:t xml:space="preserve"> de los ramales o sistemas hídricos individuales (Castro, 2019). La microcuenca se subdividió en cinco ramales a los que se les calcular</w:t>
      </w:r>
      <w:r w:rsidR="00376AAE">
        <w:rPr>
          <w:rFonts w:cs="Times New Roman"/>
          <w:sz w:val="24"/>
          <w:szCs w:val="24"/>
        </w:rPr>
        <w:t>on los índices, como el de concentración</w:t>
      </w:r>
      <w:r w:rsidRPr="00F70D71">
        <w:rPr>
          <w:rFonts w:cs="Times New Roman"/>
          <w:sz w:val="24"/>
          <w:szCs w:val="24"/>
        </w:rPr>
        <w:t>, densidad de drenajes y relación de bifurcación. Estas, a su vez, individualmente se clasificaron dentro de las categorías alto medio y bajo; la densidad</w:t>
      </w:r>
      <w:r w:rsidR="00376AAE">
        <w:rPr>
          <w:rFonts w:cs="Times New Roman"/>
          <w:sz w:val="24"/>
          <w:szCs w:val="24"/>
        </w:rPr>
        <w:t xml:space="preserve"> de drenaje y el índice de concentración</w:t>
      </w:r>
      <w:r w:rsidRPr="00F70D71">
        <w:rPr>
          <w:rFonts w:cs="Times New Roman"/>
          <w:sz w:val="24"/>
          <w:szCs w:val="24"/>
        </w:rPr>
        <w:t xml:space="preserve"> tuvieron mayor influencia en la condición hidráulica que la relación de bifurcación. El valor promedio de los tres factores (Tabla 2) constituye el factor </w:t>
      </w:r>
      <w:proofErr w:type="spellStart"/>
      <w:r w:rsidRPr="00F70D71">
        <w:rPr>
          <w:rFonts w:cs="Times New Roman"/>
          <w:sz w:val="24"/>
          <w:szCs w:val="24"/>
        </w:rPr>
        <w:t>morfométrico</w:t>
      </w:r>
      <w:proofErr w:type="spellEnd"/>
      <w:r w:rsidRPr="00F70D71">
        <w:rPr>
          <w:rFonts w:cs="Times New Roman"/>
          <w:sz w:val="24"/>
          <w:szCs w:val="24"/>
        </w:rPr>
        <w:t xml:space="preserve"> de cada ramal, el cual permitió reducir el valor de escurrimiento reportado por IDEAM (2014). Así el ramal que tiene menor eficiencia </w:t>
      </w:r>
      <w:r w:rsidR="0012786C">
        <w:rPr>
          <w:rFonts w:cs="Times New Roman"/>
          <w:sz w:val="24"/>
          <w:szCs w:val="24"/>
        </w:rPr>
        <w:t>para</w:t>
      </w:r>
      <w:r w:rsidRPr="00F70D71">
        <w:rPr>
          <w:rFonts w:cs="Times New Roman"/>
          <w:sz w:val="24"/>
          <w:szCs w:val="24"/>
        </w:rPr>
        <w:t xml:space="preserve"> retener agua en sus vertientes fue el ramal 5 con una pérdida de 25% del valor de escorrentía mientras que en los ramales 1 y 2 </w:t>
      </w:r>
      <w:r w:rsidR="0012786C">
        <w:rPr>
          <w:rFonts w:cs="Times New Roman"/>
          <w:sz w:val="24"/>
          <w:szCs w:val="24"/>
        </w:rPr>
        <w:t>caracterizaron</w:t>
      </w:r>
      <w:r w:rsidRPr="00F70D71">
        <w:rPr>
          <w:rFonts w:cs="Times New Roman"/>
          <w:sz w:val="24"/>
          <w:szCs w:val="24"/>
        </w:rPr>
        <w:t xml:space="preserve"> una reducción de escorrentía del 12%; es decir, desde </w:t>
      </w:r>
      <w:r w:rsidR="0012786C">
        <w:rPr>
          <w:rFonts w:cs="Times New Roman"/>
          <w:sz w:val="24"/>
          <w:szCs w:val="24"/>
        </w:rPr>
        <w:t>la</w:t>
      </w:r>
      <w:r w:rsidRPr="00F70D71">
        <w:rPr>
          <w:rFonts w:cs="Times New Roman"/>
          <w:sz w:val="24"/>
          <w:szCs w:val="24"/>
        </w:rPr>
        <w:t xml:space="preserve"> configuración hidráulica hay una mayor regulación de la escorrentía superficial de aguas (figura 2)</w:t>
      </w:r>
    </w:p>
    <w:p w14:paraId="14C5D2DE" w14:textId="77777777" w:rsidR="00243BD9" w:rsidRDefault="00243BD9" w:rsidP="00392D3F">
      <w:pPr>
        <w:spacing w:before="0" w:after="0" w:line="240" w:lineRule="auto"/>
        <w:ind w:firstLine="567"/>
        <w:rPr>
          <w:rFonts w:cs="Times New Roman"/>
          <w:sz w:val="24"/>
          <w:szCs w:val="24"/>
        </w:rPr>
      </w:pPr>
    </w:p>
    <w:p w14:paraId="09F0E970" w14:textId="2F233F97" w:rsidR="000247A1" w:rsidRPr="00243BD9" w:rsidRDefault="006301E4" w:rsidP="004C5683">
      <w:pPr>
        <w:spacing w:before="0" w:after="0" w:line="240" w:lineRule="auto"/>
        <w:rPr>
          <w:rFonts w:cs="Times New Roman"/>
        </w:rPr>
      </w:pPr>
      <w:r w:rsidRPr="00243BD9">
        <w:rPr>
          <w:rFonts w:cs="Times New Roman"/>
        </w:rPr>
        <w:t>T</w:t>
      </w:r>
      <w:r w:rsidR="00392D3F" w:rsidRPr="00243BD9">
        <w:rPr>
          <w:rFonts w:cs="Times New Roman"/>
        </w:rPr>
        <w:t>abla</w:t>
      </w:r>
      <w:r w:rsidRPr="00243BD9">
        <w:rPr>
          <w:rFonts w:cs="Times New Roman"/>
        </w:rPr>
        <w:t xml:space="preserve"> 2. DETERMINACIÓN DEL FACTOR MORFOMÉTRICO DE CINCO RAMALES DE LA MICROCUENCA BARBILLAS</w:t>
      </w:r>
    </w:p>
    <w:tbl>
      <w:tblPr>
        <w:tblW w:w="8850" w:type="dxa"/>
        <w:jc w:val="center"/>
        <w:tblCellMar>
          <w:left w:w="70" w:type="dxa"/>
          <w:right w:w="70" w:type="dxa"/>
        </w:tblCellMar>
        <w:tblLook w:val="04A0" w:firstRow="1" w:lastRow="0" w:firstColumn="1" w:lastColumn="0" w:noHBand="0" w:noVBand="1"/>
      </w:tblPr>
      <w:tblGrid>
        <w:gridCol w:w="2132"/>
        <w:gridCol w:w="669"/>
        <w:gridCol w:w="659"/>
        <w:gridCol w:w="647"/>
        <w:gridCol w:w="659"/>
        <w:gridCol w:w="646"/>
        <w:gridCol w:w="659"/>
        <w:gridCol w:w="666"/>
        <w:gridCol w:w="668"/>
        <w:gridCol w:w="646"/>
        <w:gridCol w:w="799"/>
      </w:tblGrid>
      <w:tr w:rsidR="000247A1" w:rsidRPr="004C5683" w14:paraId="41110641" w14:textId="77777777" w:rsidTr="009201BD">
        <w:trPr>
          <w:trHeight w:val="260"/>
          <w:jc w:val="center"/>
        </w:trPr>
        <w:tc>
          <w:tcPr>
            <w:tcW w:w="2131"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7A381AB7"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 xml:space="preserve">Análisis </w:t>
            </w:r>
            <w:proofErr w:type="spellStart"/>
            <w:r w:rsidRPr="004C5683">
              <w:rPr>
                <w:rFonts w:cs="Times New Roman"/>
                <w:sz w:val="20"/>
                <w:szCs w:val="20"/>
              </w:rPr>
              <w:t>Morfométrico</w:t>
            </w:r>
            <w:proofErr w:type="spellEnd"/>
          </w:p>
        </w:tc>
        <w:tc>
          <w:tcPr>
            <w:tcW w:w="6717" w:type="dxa"/>
            <w:gridSpan w:val="10"/>
            <w:tcBorders>
              <w:top w:val="single" w:sz="4" w:space="0" w:color="auto"/>
              <w:bottom w:val="single" w:sz="4" w:space="0" w:color="000000"/>
              <w:right w:val="single" w:sz="4" w:space="0" w:color="auto"/>
            </w:tcBorders>
            <w:shd w:val="clear" w:color="auto" w:fill="auto"/>
            <w:vAlign w:val="center"/>
          </w:tcPr>
          <w:p w14:paraId="5565E50D"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Microcuenca Barbillas</w:t>
            </w:r>
          </w:p>
        </w:tc>
      </w:tr>
      <w:tr w:rsidR="000247A1" w:rsidRPr="004C5683" w14:paraId="49AEC54C" w14:textId="77777777" w:rsidTr="009201BD">
        <w:trPr>
          <w:trHeight w:val="248"/>
          <w:jc w:val="center"/>
        </w:trPr>
        <w:tc>
          <w:tcPr>
            <w:tcW w:w="2131"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4529BFFC" w14:textId="77777777" w:rsidR="000247A1" w:rsidRPr="004C5683" w:rsidRDefault="000247A1" w:rsidP="004C5683">
            <w:pPr>
              <w:spacing w:before="0" w:after="0" w:line="240" w:lineRule="auto"/>
              <w:jc w:val="center"/>
              <w:rPr>
                <w:rFonts w:cs="Times New Roman"/>
                <w:sz w:val="20"/>
                <w:szCs w:val="20"/>
              </w:rPr>
            </w:pPr>
          </w:p>
        </w:tc>
        <w:tc>
          <w:tcPr>
            <w:tcW w:w="1327" w:type="dxa"/>
            <w:gridSpan w:val="2"/>
            <w:tcBorders>
              <w:top w:val="single" w:sz="4" w:space="0" w:color="000000"/>
              <w:bottom w:val="single" w:sz="4" w:space="0" w:color="000000"/>
              <w:right w:val="single" w:sz="4" w:space="0" w:color="000000"/>
            </w:tcBorders>
            <w:shd w:val="clear" w:color="auto" w:fill="auto"/>
            <w:vAlign w:val="center"/>
          </w:tcPr>
          <w:p w14:paraId="6DB6EE40"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Ramal 1</w:t>
            </w:r>
          </w:p>
        </w:tc>
        <w:tc>
          <w:tcPr>
            <w:tcW w:w="1306" w:type="dxa"/>
            <w:gridSpan w:val="2"/>
            <w:tcBorders>
              <w:top w:val="single" w:sz="4" w:space="0" w:color="000000"/>
              <w:bottom w:val="single" w:sz="4" w:space="0" w:color="000000"/>
              <w:right w:val="single" w:sz="4" w:space="0" w:color="000000"/>
            </w:tcBorders>
            <w:shd w:val="clear" w:color="auto" w:fill="auto"/>
            <w:vAlign w:val="center"/>
          </w:tcPr>
          <w:p w14:paraId="1DDF06F0"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Ramal 2</w:t>
            </w:r>
          </w:p>
        </w:tc>
        <w:tc>
          <w:tcPr>
            <w:tcW w:w="1305" w:type="dxa"/>
            <w:gridSpan w:val="2"/>
            <w:tcBorders>
              <w:top w:val="single" w:sz="4" w:space="0" w:color="000000"/>
              <w:bottom w:val="single" w:sz="4" w:space="0" w:color="000000"/>
              <w:right w:val="single" w:sz="4" w:space="0" w:color="000000"/>
            </w:tcBorders>
            <w:shd w:val="clear" w:color="auto" w:fill="auto"/>
            <w:vAlign w:val="center"/>
          </w:tcPr>
          <w:p w14:paraId="1019D811"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Ramal 3</w:t>
            </w:r>
          </w:p>
        </w:tc>
        <w:tc>
          <w:tcPr>
            <w:tcW w:w="1334" w:type="dxa"/>
            <w:gridSpan w:val="2"/>
            <w:tcBorders>
              <w:top w:val="single" w:sz="4" w:space="0" w:color="000000"/>
              <w:bottom w:val="single" w:sz="4" w:space="0" w:color="000000"/>
              <w:right w:val="single" w:sz="4" w:space="0" w:color="000000"/>
            </w:tcBorders>
            <w:shd w:val="clear" w:color="auto" w:fill="auto"/>
            <w:vAlign w:val="center"/>
          </w:tcPr>
          <w:p w14:paraId="4A82C477"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Ramal 4</w:t>
            </w:r>
          </w:p>
        </w:tc>
        <w:tc>
          <w:tcPr>
            <w:tcW w:w="1445" w:type="dxa"/>
            <w:gridSpan w:val="2"/>
            <w:tcBorders>
              <w:top w:val="single" w:sz="4" w:space="0" w:color="000000"/>
              <w:bottom w:val="single" w:sz="4" w:space="0" w:color="000000"/>
              <w:right w:val="single" w:sz="4" w:space="0" w:color="auto"/>
            </w:tcBorders>
            <w:shd w:val="clear" w:color="auto" w:fill="auto"/>
            <w:vAlign w:val="center"/>
          </w:tcPr>
          <w:p w14:paraId="15B7DD3A"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Ramal 5</w:t>
            </w:r>
          </w:p>
        </w:tc>
      </w:tr>
      <w:tr w:rsidR="000247A1" w:rsidRPr="004C5683" w14:paraId="305E511B" w14:textId="77777777" w:rsidTr="009201BD">
        <w:trPr>
          <w:trHeight w:val="248"/>
          <w:jc w:val="center"/>
        </w:trPr>
        <w:tc>
          <w:tcPr>
            <w:tcW w:w="2131" w:type="dxa"/>
            <w:vMerge/>
            <w:tcBorders>
              <w:top w:val="single" w:sz="4" w:space="0" w:color="000000"/>
              <w:left w:val="single" w:sz="4" w:space="0" w:color="auto"/>
              <w:bottom w:val="single" w:sz="4" w:space="0" w:color="000000"/>
              <w:right w:val="single" w:sz="4" w:space="0" w:color="000000"/>
            </w:tcBorders>
            <w:shd w:val="clear" w:color="auto" w:fill="auto"/>
            <w:vAlign w:val="center"/>
          </w:tcPr>
          <w:p w14:paraId="50D3DC89" w14:textId="77777777" w:rsidR="000247A1" w:rsidRPr="004C5683" w:rsidRDefault="000247A1" w:rsidP="004C5683">
            <w:pPr>
              <w:spacing w:before="0" w:after="0" w:line="240" w:lineRule="auto"/>
              <w:jc w:val="center"/>
              <w:rPr>
                <w:rFonts w:cs="Times New Roman"/>
                <w:sz w:val="20"/>
                <w:szCs w:val="20"/>
              </w:rPr>
            </w:pPr>
          </w:p>
        </w:tc>
        <w:tc>
          <w:tcPr>
            <w:tcW w:w="668" w:type="dxa"/>
            <w:tcBorders>
              <w:bottom w:val="single" w:sz="4" w:space="0" w:color="000000"/>
              <w:right w:val="single" w:sz="4" w:space="0" w:color="000000"/>
            </w:tcBorders>
            <w:shd w:val="clear" w:color="auto" w:fill="auto"/>
            <w:vAlign w:val="center"/>
          </w:tcPr>
          <w:p w14:paraId="6AC04B22"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Valor</w:t>
            </w:r>
          </w:p>
        </w:tc>
        <w:tc>
          <w:tcPr>
            <w:tcW w:w="659" w:type="dxa"/>
            <w:tcBorders>
              <w:bottom w:val="single" w:sz="4" w:space="0" w:color="000000"/>
              <w:right w:val="single" w:sz="4" w:space="0" w:color="000000"/>
            </w:tcBorders>
            <w:shd w:val="clear" w:color="auto" w:fill="auto"/>
            <w:vAlign w:val="center"/>
          </w:tcPr>
          <w:p w14:paraId="6E0F4F9C"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factor</w:t>
            </w:r>
          </w:p>
        </w:tc>
        <w:tc>
          <w:tcPr>
            <w:tcW w:w="647" w:type="dxa"/>
            <w:tcBorders>
              <w:bottom w:val="single" w:sz="4" w:space="0" w:color="000000"/>
              <w:right w:val="single" w:sz="4" w:space="0" w:color="000000"/>
            </w:tcBorders>
            <w:shd w:val="clear" w:color="auto" w:fill="auto"/>
            <w:vAlign w:val="center"/>
          </w:tcPr>
          <w:p w14:paraId="5C6E01F7"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Valor</w:t>
            </w:r>
          </w:p>
        </w:tc>
        <w:tc>
          <w:tcPr>
            <w:tcW w:w="659" w:type="dxa"/>
            <w:tcBorders>
              <w:bottom w:val="single" w:sz="4" w:space="0" w:color="000000"/>
              <w:right w:val="single" w:sz="4" w:space="0" w:color="000000"/>
            </w:tcBorders>
            <w:shd w:val="clear" w:color="auto" w:fill="auto"/>
            <w:vAlign w:val="center"/>
          </w:tcPr>
          <w:p w14:paraId="034E48F6"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factor</w:t>
            </w:r>
          </w:p>
        </w:tc>
        <w:tc>
          <w:tcPr>
            <w:tcW w:w="646" w:type="dxa"/>
            <w:tcBorders>
              <w:bottom w:val="single" w:sz="4" w:space="0" w:color="000000"/>
              <w:right w:val="single" w:sz="4" w:space="0" w:color="000000"/>
            </w:tcBorders>
            <w:shd w:val="clear" w:color="auto" w:fill="auto"/>
            <w:vAlign w:val="center"/>
          </w:tcPr>
          <w:p w14:paraId="6D51ABE1"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Valor</w:t>
            </w:r>
          </w:p>
        </w:tc>
        <w:tc>
          <w:tcPr>
            <w:tcW w:w="659" w:type="dxa"/>
            <w:tcBorders>
              <w:bottom w:val="single" w:sz="4" w:space="0" w:color="000000"/>
              <w:right w:val="single" w:sz="4" w:space="0" w:color="000000"/>
            </w:tcBorders>
            <w:shd w:val="clear" w:color="auto" w:fill="auto"/>
            <w:vAlign w:val="center"/>
          </w:tcPr>
          <w:p w14:paraId="713BBE83"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factor</w:t>
            </w:r>
          </w:p>
        </w:tc>
        <w:tc>
          <w:tcPr>
            <w:tcW w:w="666" w:type="dxa"/>
            <w:tcBorders>
              <w:bottom w:val="single" w:sz="4" w:space="0" w:color="000000"/>
              <w:right w:val="single" w:sz="4" w:space="0" w:color="000000"/>
            </w:tcBorders>
            <w:shd w:val="clear" w:color="auto" w:fill="auto"/>
            <w:vAlign w:val="center"/>
          </w:tcPr>
          <w:p w14:paraId="1C08AE63"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Valor</w:t>
            </w:r>
          </w:p>
        </w:tc>
        <w:tc>
          <w:tcPr>
            <w:tcW w:w="668" w:type="dxa"/>
            <w:tcBorders>
              <w:bottom w:val="single" w:sz="4" w:space="0" w:color="000000"/>
              <w:right w:val="single" w:sz="4" w:space="0" w:color="000000"/>
            </w:tcBorders>
            <w:shd w:val="clear" w:color="auto" w:fill="auto"/>
            <w:vAlign w:val="center"/>
          </w:tcPr>
          <w:p w14:paraId="1416DD1D"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factor</w:t>
            </w:r>
          </w:p>
        </w:tc>
        <w:tc>
          <w:tcPr>
            <w:tcW w:w="646" w:type="dxa"/>
            <w:tcBorders>
              <w:bottom w:val="single" w:sz="4" w:space="0" w:color="000000"/>
              <w:right w:val="single" w:sz="4" w:space="0" w:color="000000"/>
            </w:tcBorders>
            <w:shd w:val="clear" w:color="auto" w:fill="auto"/>
            <w:vAlign w:val="center"/>
          </w:tcPr>
          <w:p w14:paraId="4C2D7082"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Valor</w:t>
            </w:r>
          </w:p>
        </w:tc>
        <w:tc>
          <w:tcPr>
            <w:tcW w:w="799" w:type="dxa"/>
            <w:tcBorders>
              <w:bottom w:val="single" w:sz="4" w:space="0" w:color="000000"/>
              <w:right w:val="single" w:sz="4" w:space="0" w:color="auto"/>
            </w:tcBorders>
            <w:shd w:val="clear" w:color="auto" w:fill="auto"/>
            <w:vAlign w:val="center"/>
          </w:tcPr>
          <w:p w14:paraId="0642164E"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factor</w:t>
            </w:r>
          </w:p>
        </w:tc>
      </w:tr>
      <w:tr w:rsidR="000247A1" w:rsidRPr="004C5683" w14:paraId="51C8B863" w14:textId="77777777" w:rsidTr="009201BD">
        <w:trPr>
          <w:trHeight w:val="248"/>
          <w:jc w:val="center"/>
        </w:trPr>
        <w:tc>
          <w:tcPr>
            <w:tcW w:w="2131" w:type="dxa"/>
            <w:tcBorders>
              <w:left w:val="single" w:sz="4" w:space="0" w:color="auto"/>
              <w:bottom w:val="single" w:sz="4" w:space="0" w:color="000000"/>
              <w:right w:val="single" w:sz="4" w:space="0" w:color="000000"/>
            </w:tcBorders>
            <w:shd w:val="clear" w:color="auto" w:fill="auto"/>
            <w:vAlign w:val="center"/>
          </w:tcPr>
          <w:p w14:paraId="2D5A3713"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Densidad Drenaje</w:t>
            </w:r>
          </w:p>
        </w:tc>
        <w:tc>
          <w:tcPr>
            <w:tcW w:w="668" w:type="dxa"/>
            <w:tcBorders>
              <w:bottom w:val="single" w:sz="4" w:space="0" w:color="000000"/>
              <w:right w:val="single" w:sz="4" w:space="0" w:color="000000"/>
            </w:tcBorders>
            <w:shd w:val="clear" w:color="auto" w:fill="auto"/>
            <w:vAlign w:val="center"/>
          </w:tcPr>
          <w:p w14:paraId="78FFAB91"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5,13</w:t>
            </w:r>
          </w:p>
        </w:tc>
        <w:tc>
          <w:tcPr>
            <w:tcW w:w="659" w:type="dxa"/>
            <w:tcBorders>
              <w:bottom w:val="single" w:sz="4" w:space="0" w:color="000000"/>
              <w:right w:val="single" w:sz="4" w:space="0" w:color="000000"/>
            </w:tcBorders>
            <w:shd w:val="clear" w:color="auto" w:fill="auto"/>
            <w:vAlign w:val="center"/>
          </w:tcPr>
          <w:p w14:paraId="0365C773"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0,75</w:t>
            </w:r>
          </w:p>
        </w:tc>
        <w:tc>
          <w:tcPr>
            <w:tcW w:w="647" w:type="dxa"/>
            <w:tcBorders>
              <w:bottom w:val="single" w:sz="4" w:space="0" w:color="000000"/>
              <w:right w:val="single" w:sz="4" w:space="0" w:color="000000"/>
            </w:tcBorders>
            <w:shd w:val="clear" w:color="auto" w:fill="auto"/>
            <w:vAlign w:val="center"/>
          </w:tcPr>
          <w:p w14:paraId="72A13E4C"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3,59</w:t>
            </w:r>
          </w:p>
        </w:tc>
        <w:tc>
          <w:tcPr>
            <w:tcW w:w="659" w:type="dxa"/>
            <w:tcBorders>
              <w:bottom w:val="single" w:sz="4" w:space="0" w:color="000000"/>
              <w:right w:val="single" w:sz="4" w:space="0" w:color="000000"/>
            </w:tcBorders>
            <w:shd w:val="clear" w:color="auto" w:fill="auto"/>
            <w:vAlign w:val="center"/>
          </w:tcPr>
          <w:p w14:paraId="2EDFDA4E"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0,75</w:t>
            </w:r>
          </w:p>
        </w:tc>
        <w:tc>
          <w:tcPr>
            <w:tcW w:w="646" w:type="dxa"/>
            <w:tcBorders>
              <w:bottom w:val="single" w:sz="4" w:space="0" w:color="000000"/>
              <w:right w:val="single" w:sz="4" w:space="0" w:color="000000"/>
            </w:tcBorders>
            <w:shd w:val="clear" w:color="auto" w:fill="auto"/>
            <w:vAlign w:val="center"/>
          </w:tcPr>
          <w:p w14:paraId="5CC69D01"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4,97</w:t>
            </w:r>
          </w:p>
        </w:tc>
        <w:tc>
          <w:tcPr>
            <w:tcW w:w="659" w:type="dxa"/>
            <w:tcBorders>
              <w:bottom w:val="single" w:sz="4" w:space="0" w:color="000000"/>
              <w:right w:val="single" w:sz="4" w:space="0" w:color="000000"/>
            </w:tcBorders>
            <w:shd w:val="clear" w:color="auto" w:fill="auto"/>
            <w:vAlign w:val="center"/>
          </w:tcPr>
          <w:p w14:paraId="4A8211D2"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0,75</w:t>
            </w:r>
          </w:p>
        </w:tc>
        <w:tc>
          <w:tcPr>
            <w:tcW w:w="666" w:type="dxa"/>
            <w:tcBorders>
              <w:bottom w:val="single" w:sz="4" w:space="0" w:color="000000"/>
              <w:right w:val="single" w:sz="4" w:space="0" w:color="000000"/>
            </w:tcBorders>
            <w:shd w:val="clear" w:color="auto" w:fill="auto"/>
            <w:vAlign w:val="center"/>
          </w:tcPr>
          <w:p w14:paraId="7AF272B0"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3,96</w:t>
            </w:r>
          </w:p>
        </w:tc>
        <w:tc>
          <w:tcPr>
            <w:tcW w:w="668" w:type="dxa"/>
            <w:tcBorders>
              <w:bottom w:val="single" w:sz="4" w:space="0" w:color="000000"/>
              <w:right w:val="single" w:sz="4" w:space="0" w:color="000000"/>
            </w:tcBorders>
            <w:shd w:val="clear" w:color="auto" w:fill="auto"/>
            <w:vAlign w:val="center"/>
          </w:tcPr>
          <w:p w14:paraId="4226BC21"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0,75</w:t>
            </w:r>
          </w:p>
        </w:tc>
        <w:tc>
          <w:tcPr>
            <w:tcW w:w="646" w:type="dxa"/>
            <w:tcBorders>
              <w:bottom w:val="single" w:sz="4" w:space="0" w:color="000000"/>
              <w:right w:val="single" w:sz="4" w:space="0" w:color="000000"/>
            </w:tcBorders>
            <w:shd w:val="clear" w:color="auto" w:fill="auto"/>
            <w:vAlign w:val="center"/>
          </w:tcPr>
          <w:p w14:paraId="630C10EF"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3,51</w:t>
            </w:r>
          </w:p>
        </w:tc>
        <w:tc>
          <w:tcPr>
            <w:tcW w:w="799" w:type="dxa"/>
            <w:tcBorders>
              <w:bottom w:val="single" w:sz="4" w:space="0" w:color="000000"/>
              <w:right w:val="single" w:sz="4" w:space="0" w:color="auto"/>
            </w:tcBorders>
            <w:shd w:val="clear" w:color="auto" w:fill="auto"/>
            <w:vAlign w:val="center"/>
          </w:tcPr>
          <w:p w14:paraId="60F27D95"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0,75</w:t>
            </w:r>
          </w:p>
        </w:tc>
      </w:tr>
      <w:tr w:rsidR="000247A1" w:rsidRPr="004C5683" w14:paraId="0ABA135F" w14:textId="77777777" w:rsidTr="009201BD">
        <w:trPr>
          <w:trHeight w:val="248"/>
          <w:jc w:val="center"/>
        </w:trPr>
        <w:tc>
          <w:tcPr>
            <w:tcW w:w="2131" w:type="dxa"/>
            <w:tcBorders>
              <w:left w:val="single" w:sz="4" w:space="0" w:color="auto"/>
              <w:bottom w:val="single" w:sz="4" w:space="0" w:color="000000"/>
              <w:right w:val="single" w:sz="4" w:space="0" w:color="000000"/>
            </w:tcBorders>
            <w:shd w:val="clear" w:color="auto" w:fill="auto"/>
            <w:vAlign w:val="center"/>
          </w:tcPr>
          <w:p w14:paraId="1C568017"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Relación de Bifurcación</w:t>
            </w:r>
          </w:p>
        </w:tc>
        <w:tc>
          <w:tcPr>
            <w:tcW w:w="668" w:type="dxa"/>
            <w:tcBorders>
              <w:bottom w:val="single" w:sz="4" w:space="0" w:color="000000"/>
              <w:right w:val="single" w:sz="4" w:space="0" w:color="000000"/>
            </w:tcBorders>
            <w:shd w:val="clear" w:color="auto" w:fill="auto"/>
            <w:vAlign w:val="center"/>
          </w:tcPr>
          <w:p w14:paraId="3D7CA8D4"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1,56</w:t>
            </w:r>
          </w:p>
        </w:tc>
        <w:tc>
          <w:tcPr>
            <w:tcW w:w="659" w:type="dxa"/>
            <w:tcBorders>
              <w:bottom w:val="single" w:sz="4" w:space="0" w:color="000000"/>
              <w:right w:val="single" w:sz="4" w:space="0" w:color="000000"/>
            </w:tcBorders>
            <w:shd w:val="clear" w:color="auto" w:fill="auto"/>
            <w:vAlign w:val="center"/>
          </w:tcPr>
          <w:p w14:paraId="7265A8E0"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0,90</w:t>
            </w:r>
          </w:p>
        </w:tc>
        <w:tc>
          <w:tcPr>
            <w:tcW w:w="647" w:type="dxa"/>
            <w:tcBorders>
              <w:bottom w:val="single" w:sz="4" w:space="0" w:color="000000"/>
              <w:right w:val="single" w:sz="4" w:space="0" w:color="000000"/>
            </w:tcBorders>
            <w:shd w:val="clear" w:color="auto" w:fill="auto"/>
            <w:vAlign w:val="center"/>
          </w:tcPr>
          <w:p w14:paraId="410C8DBD"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1,73</w:t>
            </w:r>
          </w:p>
        </w:tc>
        <w:tc>
          <w:tcPr>
            <w:tcW w:w="659" w:type="dxa"/>
            <w:tcBorders>
              <w:bottom w:val="single" w:sz="4" w:space="0" w:color="000000"/>
              <w:right w:val="single" w:sz="4" w:space="0" w:color="000000"/>
            </w:tcBorders>
            <w:shd w:val="clear" w:color="auto" w:fill="auto"/>
            <w:vAlign w:val="center"/>
          </w:tcPr>
          <w:p w14:paraId="19A668F3"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0,90</w:t>
            </w:r>
          </w:p>
        </w:tc>
        <w:tc>
          <w:tcPr>
            <w:tcW w:w="646" w:type="dxa"/>
            <w:tcBorders>
              <w:bottom w:val="single" w:sz="4" w:space="0" w:color="000000"/>
              <w:right w:val="single" w:sz="4" w:space="0" w:color="000000"/>
            </w:tcBorders>
            <w:shd w:val="clear" w:color="auto" w:fill="auto"/>
            <w:vAlign w:val="center"/>
          </w:tcPr>
          <w:p w14:paraId="2014EB3A"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1,33</w:t>
            </w:r>
          </w:p>
        </w:tc>
        <w:tc>
          <w:tcPr>
            <w:tcW w:w="659" w:type="dxa"/>
            <w:tcBorders>
              <w:bottom w:val="single" w:sz="4" w:space="0" w:color="000000"/>
              <w:right w:val="single" w:sz="4" w:space="0" w:color="000000"/>
            </w:tcBorders>
            <w:shd w:val="clear" w:color="auto" w:fill="auto"/>
            <w:vAlign w:val="center"/>
          </w:tcPr>
          <w:p w14:paraId="5D90C558"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0,90</w:t>
            </w:r>
          </w:p>
        </w:tc>
        <w:tc>
          <w:tcPr>
            <w:tcW w:w="666" w:type="dxa"/>
            <w:tcBorders>
              <w:bottom w:val="single" w:sz="4" w:space="0" w:color="000000"/>
              <w:right w:val="single" w:sz="4" w:space="0" w:color="000000"/>
            </w:tcBorders>
            <w:shd w:val="clear" w:color="auto" w:fill="auto"/>
            <w:vAlign w:val="center"/>
          </w:tcPr>
          <w:p w14:paraId="15EFA06E"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1,18</w:t>
            </w:r>
          </w:p>
        </w:tc>
        <w:tc>
          <w:tcPr>
            <w:tcW w:w="668" w:type="dxa"/>
            <w:tcBorders>
              <w:bottom w:val="single" w:sz="4" w:space="0" w:color="000000"/>
              <w:right w:val="single" w:sz="4" w:space="0" w:color="000000"/>
            </w:tcBorders>
            <w:shd w:val="clear" w:color="auto" w:fill="auto"/>
            <w:vAlign w:val="center"/>
          </w:tcPr>
          <w:p w14:paraId="24EA5F2C"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0,90</w:t>
            </w:r>
          </w:p>
        </w:tc>
        <w:tc>
          <w:tcPr>
            <w:tcW w:w="646" w:type="dxa"/>
            <w:tcBorders>
              <w:bottom w:val="single" w:sz="4" w:space="0" w:color="000000"/>
              <w:right w:val="single" w:sz="4" w:space="0" w:color="000000"/>
            </w:tcBorders>
            <w:shd w:val="clear" w:color="auto" w:fill="auto"/>
            <w:vAlign w:val="center"/>
          </w:tcPr>
          <w:p w14:paraId="4E51F233"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2,89</w:t>
            </w:r>
          </w:p>
        </w:tc>
        <w:tc>
          <w:tcPr>
            <w:tcW w:w="799" w:type="dxa"/>
            <w:tcBorders>
              <w:bottom w:val="single" w:sz="4" w:space="0" w:color="000000"/>
              <w:right w:val="single" w:sz="4" w:space="0" w:color="auto"/>
            </w:tcBorders>
            <w:shd w:val="clear" w:color="auto" w:fill="auto"/>
            <w:vAlign w:val="center"/>
          </w:tcPr>
          <w:p w14:paraId="38C578DA"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0,80</w:t>
            </w:r>
          </w:p>
        </w:tc>
      </w:tr>
      <w:tr w:rsidR="000247A1" w:rsidRPr="004C5683" w14:paraId="7A0658BC" w14:textId="77777777" w:rsidTr="009201BD">
        <w:trPr>
          <w:trHeight w:val="248"/>
          <w:jc w:val="center"/>
        </w:trPr>
        <w:tc>
          <w:tcPr>
            <w:tcW w:w="2131" w:type="dxa"/>
            <w:tcBorders>
              <w:left w:val="single" w:sz="4" w:space="0" w:color="auto"/>
              <w:bottom w:val="single" w:sz="4" w:space="0" w:color="000000"/>
              <w:right w:val="single" w:sz="4" w:space="0" w:color="000000"/>
            </w:tcBorders>
            <w:shd w:val="clear" w:color="auto" w:fill="auto"/>
            <w:vAlign w:val="center"/>
          </w:tcPr>
          <w:p w14:paraId="1F85E4A0"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Índice de Concentración</w:t>
            </w:r>
          </w:p>
        </w:tc>
        <w:tc>
          <w:tcPr>
            <w:tcW w:w="668" w:type="dxa"/>
            <w:tcBorders>
              <w:bottom w:val="single" w:sz="4" w:space="0" w:color="000000"/>
              <w:right w:val="single" w:sz="4" w:space="0" w:color="000000"/>
            </w:tcBorders>
            <w:shd w:val="clear" w:color="auto" w:fill="auto"/>
            <w:vAlign w:val="center"/>
          </w:tcPr>
          <w:p w14:paraId="6EA0A20B"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1,03</w:t>
            </w:r>
          </w:p>
        </w:tc>
        <w:tc>
          <w:tcPr>
            <w:tcW w:w="659" w:type="dxa"/>
            <w:tcBorders>
              <w:bottom w:val="single" w:sz="4" w:space="0" w:color="000000"/>
              <w:right w:val="single" w:sz="4" w:space="0" w:color="000000"/>
            </w:tcBorders>
            <w:shd w:val="clear" w:color="auto" w:fill="auto"/>
            <w:vAlign w:val="center"/>
          </w:tcPr>
          <w:p w14:paraId="23756A9F"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0,99</w:t>
            </w:r>
          </w:p>
        </w:tc>
        <w:tc>
          <w:tcPr>
            <w:tcW w:w="647" w:type="dxa"/>
            <w:tcBorders>
              <w:bottom w:val="single" w:sz="4" w:space="0" w:color="000000"/>
              <w:right w:val="single" w:sz="4" w:space="0" w:color="000000"/>
            </w:tcBorders>
            <w:shd w:val="clear" w:color="auto" w:fill="auto"/>
            <w:vAlign w:val="center"/>
          </w:tcPr>
          <w:p w14:paraId="6A881B85"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2,28</w:t>
            </w:r>
          </w:p>
        </w:tc>
        <w:tc>
          <w:tcPr>
            <w:tcW w:w="659" w:type="dxa"/>
            <w:tcBorders>
              <w:bottom w:val="single" w:sz="4" w:space="0" w:color="000000"/>
              <w:right w:val="single" w:sz="4" w:space="0" w:color="000000"/>
            </w:tcBorders>
            <w:shd w:val="clear" w:color="auto" w:fill="auto"/>
            <w:vAlign w:val="center"/>
          </w:tcPr>
          <w:p w14:paraId="02949B48"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0,99</w:t>
            </w:r>
          </w:p>
        </w:tc>
        <w:tc>
          <w:tcPr>
            <w:tcW w:w="646" w:type="dxa"/>
            <w:tcBorders>
              <w:bottom w:val="single" w:sz="4" w:space="0" w:color="000000"/>
              <w:right w:val="single" w:sz="4" w:space="0" w:color="000000"/>
            </w:tcBorders>
            <w:shd w:val="clear" w:color="auto" w:fill="auto"/>
            <w:vAlign w:val="center"/>
          </w:tcPr>
          <w:p w14:paraId="1A15C418"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0,28</w:t>
            </w:r>
          </w:p>
        </w:tc>
        <w:tc>
          <w:tcPr>
            <w:tcW w:w="659" w:type="dxa"/>
            <w:tcBorders>
              <w:bottom w:val="single" w:sz="4" w:space="0" w:color="000000"/>
              <w:right w:val="single" w:sz="4" w:space="0" w:color="000000"/>
            </w:tcBorders>
            <w:shd w:val="clear" w:color="auto" w:fill="auto"/>
            <w:vAlign w:val="center"/>
          </w:tcPr>
          <w:p w14:paraId="50108345"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0,71</w:t>
            </w:r>
          </w:p>
        </w:tc>
        <w:tc>
          <w:tcPr>
            <w:tcW w:w="666" w:type="dxa"/>
            <w:tcBorders>
              <w:bottom w:val="single" w:sz="4" w:space="0" w:color="000000"/>
              <w:right w:val="single" w:sz="4" w:space="0" w:color="000000"/>
            </w:tcBorders>
            <w:shd w:val="clear" w:color="auto" w:fill="auto"/>
            <w:vAlign w:val="center"/>
          </w:tcPr>
          <w:p w14:paraId="2488C18A"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0,21</w:t>
            </w:r>
          </w:p>
        </w:tc>
        <w:tc>
          <w:tcPr>
            <w:tcW w:w="668" w:type="dxa"/>
            <w:tcBorders>
              <w:bottom w:val="single" w:sz="4" w:space="0" w:color="000000"/>
              <w:right w:val="single" w:sz="4" w:space="0" w:color="000000"/>
            </w:tcBorders>
            <w:shd w:val="clear" w:color="auto" w:fill="auto"/>
            <w:vAlign w:val="center"/>
          </w:tcPr>
          <w:p w14:paraId="2D758BF2"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0,71</w:t>
            </w:r>
          </w:p>
        </w:tc>
        <w:tc>
          <w:tcPr>
            <w:tcW w:w="646" w:type="dxa"/>
            <w:tcBorders>
              <w:bottom w:val="single" w:sz="4" w:space="0" w:color="000000"/>
              <w:right w:val="single" w:sz="4" w:space="0" w:color="000000"/>
            </w:tcBorders>
            <w:shd w:val="clear" w:color="auto" w:fill="auto"/>
            <w:vAlign w:val="center"/>
          </w:tcPr>
          <w:p w14:paraId="1186A154"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0,31</w:t>
            </w:r>
          </w:p>
        </w:tc>
        <w:tc>
          <w:tcPr>
            <w:tcW w:w="799" w:type="dxa"/>
            <w:tcBorders>
              <w:bottom w:val="single" w:sz="4" w:space="0" w:color="000000"/>
              <w:right w:val="single" w:sz="4" w:space="0" w:color="auto"/>
            </w:tcBorders>
            <w:shd w:val="clear" w:color="auto" w:fill="auto"/>
            <w:vAlign w:val="center"/>
          </w:tcPr>
          <w:p w14:paraId="74E7C1E5"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0,71</w:t>
            </w:r>
          </w:p>
        </w:tc>
      </w:tr>
      <w:tr w:rsidR="000247A1" w:rsidRPr="004C5683" w14:paraId="34323B15" w14:textId="77777777" w:rsidTr="009201BD">
        <w:trPr>
          <w:trHeight w:val="248"/>
          <w:jc w:val="center"/>
        </w:trPr>
        <w:tc>
          <w:tcPr>
            <w:tcW w:w="2131" w:type="dxa"/>
            <w:tcBorders>
              <w:left w:val="single" w:sz="4" w:space="0" w:color="auto"/>
              <w:bottom w:val="single" w:sz="4" w:space="0" w:color="auto"/>
              <w:right w:val="single" w:sz="4" w:space="0" w:color="000000"/>
            </w:tcBorders>
            <w:shd w:val="clear" w:color="auto" w:fill="auto"/>
            <w:vAlign w:val="center"/>
          </w:tcPr>
          <w:p w14:paraId="60872FE3"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PROMEDIO</w:t>
            </w:r>
          </w:p>
        </w:tc>
        <w:tc>
          <w:tcPr>
            <w:tcW w:w="668" w:type="dxa"/>
            <w:tcBorders>
              <w:bottom w:val="single" w:sz="4" w:space="0" w:color="auto"/>
              <w:right w:val="single" w:sz="4" w:space="0" w:color="000000"/>
            </w:tcBorders>
            <w:shd w:val="clear" w:color="auto" w:fill="auto"/>
            <w:vAlign w:val="center"/>
          </w:tcPr>
          <w:p w14:paraId="3D450097" w14:textId="77777777" w:rsidR="000247A1" w:rsidRPr="004C5683" w:rsidRDefault="000247A1" w:rsidP="004C5683">
            <w:pPr>
              <w:spacing w:before="0" w:after="0" w:line="240" w:lineRule="auto"/>
              <w:jc w:val="center"/>
              <w:rPr>
                <w:rFonts w:cs="Times New Roman"/>
                <w:sz w:val="20"/>
                <w:szCs w:val="20"/>
              </w:rPr>
            </w:pPr>
          </w:p>
        </w:tc>
        <w:tc>
          <w:tcPr>
            <w:tcW w:w="659" w:type="dxa"/>
            <w:tcBorders>
              <w:bottom w:val="single" w:sz="4" w:space="0" w:color="auto"/>
              <w:right w:val="single" w:sz="4" w:space="0" w:color="000000"/>
            </w:tcBorders>
            <w:shd w:val="clear" w:color="auto" w:fill="auto"/>
            <w:vAlign w:val="center"/>
          </w:tcPr>
          <w:p w14:paraId="1B3474A1"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0,88</w:t>
            </w:r>
          </w:p>
        </w:tc>
        <w:tc>
          <w:tcPr>
            <w:tcW w:w="647" w:type="dxa"/>
            <w:tcBorders>
              <w:bottom w:val="single" w:sz="4" w:space="0" w:color="auto"/>
              <w:right w:val="single" w:sz="4" w:space="0" w:color="000000"/>
            </w:tcBorders>
            <w:shd w:val="clear" w:color="auto" w:fill="auto"/>
            <w:vAlign w:val="center"/>
          </w:tcPr>
          <w:p w14:paraId="466AFAD0" w14:textId="77777777" w:rsidR="000247A1" w:rsidRPr="004C5683" w:rsidRDefault="000247A1" w:rsidP="004C5683">
            <w:pPr>
              <w:spacing w:before="0" w:after="0" w:line="240" w:lineRule="auto"/>
              <w:jc w:val="center"/>
              <w:rPr>
                <w:rFonts w:cs="Times New Roman"/>
                <w:sz w:val="20"/>
                <w:szCs w:val="20"/>
              </w:rPr>
            </w:pPr>
          </w:p>
        </w:tc>
        <w:tc>
          <w:tcPr>
            <w:tcW w:w="659" w:type="dxa"/>
            <w:tcBorders>
              <w:bottom w:val="single" w:sz="4" w:space="0" w:color="auto"/>
              <w:right w:val="single" w:sz="4" w:space="0" w:color="000000"/>
            </w:tcBorders>
            <w:shd w:val="clear" w:color="auto" w:fill="auto"/>
            <w:vAlign w:val="center"/>
          </w:tcPr>
          <w:p w14:paraId="1124CB7E"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0,88</w:t>
            </w:r>
          </w:p>
        </w:tc>
        <w:tc>
          <w:tcPr>
            <w:tcW w:w="646" w:type="dxa"/>
            <w:tcBorders>
              <w:bottom w:val="single" w:sz="4" w:space="0" w:color="auto"/>
              <w:right w:val="single" w:sz="4" w:space="0" w:color="000000"/>
            </w:tcBorders>
            <w:shd w:val="clear" w:color="auto" w:fill="auto"/>
            <w:vAlign w:val="center"/>
          </w:tcPr>
          <w:p w14:paraId="4B9F50A7" w14:textId="77777777" w:rsidR="000247A1" w:rsidRPr="004C5683" w:rsidRDefault="000247A1" w:rsidP="004C5683">
            <w:pPr>
              <w:spacing w:before="0" w:after="0" w:line="240" w:lineRule="auto"/>
              <w:jc w:val="center"/>
              <w:rPr>
                <w:rFonts w:cs="Times New Roman"/>
                <w:sz w:val="20"/>
                <w:szCs w:val="20"/>
              </w:rPr>
            </w:pPr>
          </w:p>
        </w:tc>
        <w:tc>
          <w:tcPr>
            <w:tcW w:w="659" w:type="dxa"/>
            <w:tcBorders>
              <w:bottom w:val="single" w:sz="4" w:space="0" w:color="auto"/>
              <w:right w:val="single" w:sz="4" w:space="0" w:color="000000"/>
            </w:tcBorders>
            <w:shd w:val="clear" w:color="auto" w:fill="auto"/>
            <w:vAlign w:val="center"/>
          </w:tcPr>
          <w:p w14:paraId="39E5F321"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0,79</w:t>
            </w:r>
          </w:p>
        </w:tc>
        <w:tc>
          <w:tcPr>
            <w:tcW w:w="666" w:type="dxa"/>
            <w:tcBorders>
              <w:bottom w:val="single" w:sz="4" w:space="0" w:color="auto"/>
              <w:right w:val="single" w:sz="4" w:space="0" w:color="000000"/>
            </w:tcBorders>
            <w:shd w:val="clear" w:color="auto" w:fill="auto"/>
            <w:vAlign w:val="center"/>
          </w:tcPr>
          <w:p w14:paraId="45AD185F" w14:textId="77777777" w:rsidR="000247A1" w:rsidRPr="004C5683" w:rsidRDefault="000247A1" w:rsidP="004C5683">
            <w:pPr>
              <w:spacing w:before="0" w:after="0" w:line="240" w:lineRule="auto"/>
              <w:jc w:val="center"/>
              <w:rPr>
                <w:rFonts w:cs="Times New Roman"/>
                <w:sz w:val="20"/>
                <w:szCs w:val="20"/>
              </w:rPr>
            </w:pPr>
          </w:p>
        </w:tc>
        <w:tc>
          <w:tcPr>
            <w:tcW w:w="668" w:type="dxa"/>
            <w:tcBorders>
              <w:bottom w:val="single" w:sz="4" w:space="0" w:color="auto"/>
              <w:right w:val="single" w:sz="4" w:space="0" w:color="000000"/>
            </w:tcBorders>
            <w:shd w:val="clear" w:color="auto" w:fill="auto"/>
            <w:vAlign w:val="center"/>
          </w:tcPr>
          <w:p w14:paraId="1C8CD71F"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0,79</w:t>
            </w:r>
          </w:p>
        </w:tc>
        <w:tc>
          <w:tcPr>
            <w:tcW w:w="646" w:type="dxa"/>
            <w:tcBorders>
              <w:bottom w:val="single" w:sz="4" w:space="0" w:color="auto"/>
              <w:right w:val="single" w:sz="4" w:space="0" w:color="000000"/>
            </w:tcBorders>
            <w:shd w:val="clear" w:color="auto" w:fill="auto"/>
            <w:vAlign w:val="center"/>
          </w:tcPr>
          <w:p w14:paraId="6225753C" w14:textId="77777777" w:rsidR="000247A1" w:rsidRPr="004C5683" w:rsidRDefault="000247A1" w:rsidP="004C5683">
            <w:pPr>
              <w:spacing w:before="0" w:after="0" w:line="240" w:lineRule="auto"/>
              <w:jc w:val="center"/>
              <w:rPr>
                <w:rFonts w:cs="Times New Roman"/>
                <w:sz w:val="20"/>
                <w:szCs w:val="20"/>
              </w:rPr>
            </w:pPr>
          </w:p>
        </w:tc>
        <w:tc>
          <w:tcPr>
            <w:tcW w:w="799" w:type="dxa"/>
            <w:tcBorders>
              <w:bottom w:val="single" w:sz="4" w:space="0" w:color="auto"/>
              <w:right w:val="single" w:sz="4" w:space="0" w:color="auto"/>
            </w:tcBorders>
            <w:shd w:val="clear" w:color="auto" w:fill="auto"/>
            <w:vAlign w:val="center"/>
          </w:tcPr>
          <w:p w14:paraId="520F68BF" w14:textId="77777777" w:rsidR="000247A1" w:rsidRPr="004C5683" w:rsidRDefault="00926F22" w:rsidP="004C5683">
            <w:pPr>
              <w:spacing w:before="0" w:after="0" w:line="240" w:lineRule="auto"/>
              <w:jc w:val="center"/>
              <w:rPr>
                <w:rFonts w:cs="Times New Roman"/>
                <w:sz w:val="20"/>
                <w:szCs w:val="20"/>
              </w:rPr>
            </w:pPr>
            <w:r w:rsidRPr="004C5683">
              <w:rPr>
                <w:rFonts w:cs="Times New Roman"/>
                <w:sz w:val="20"/>
                <w:szCs w:val="20"/>
              </w:rPr>
              <w:t>0,75</w:t>
            </w:r>
          </w:p>
        </w:tc>
      </w:tr>
    </w:tbl>
    <w:p w14:paraId="06116A5A" w14:textId="22F85803" w:rsidR="000247A1" w:rsidRDefault="00926F22" w:rsidP="004C5683">
      <w:pPr>
        <w:spacing w:before="0" w:after="0" w:line="240" w:lineRule="auto"/>
        <w:rPr>
          <w:rFonts w:cs="Times New Roman"/>
          <w:sz w:val="20"/>
          <w:szCs w:val="20"/>
        </w:rPr>
      </w:pPr>
      <w:r w:rsidRPr="004C5683">
        <w:rPr>
          <w:rFonts w:cs="Times New Roman"/>
          <w:sz w:val="20"/>
          <w:szCs w:val="20"/>
        </w:rPr>
        <w:t xml:space="preserve">       Fuente de Datos: IGAC, 2018</w:t>
      </w:r>
    </w:p>
    <w:p w14:paraId="48D35879" w14:textId="77777777" w:rsidR="00243BD9" w:rsidRPr="004C5683" w:rsidRDefault="00243BD9" w:rsidP="004C5683">
      <w:pPr>
        <w:spacing w:before="0" w:after="0" w:line="240" w:lineRule="auto"/>
        <w:rPr>
          <w:rFonts w:cs="Times New Roman"/>
          <w:sz w:val="20"/>
          <w:szCs w:val="20"/>
        </w:rPr>
      </w:pPr>
    </w:p>
    <w:p w14:paraId="6529AA60" w14:textId="592C0D37" w:rsidR="000247A1" w:rsidRDefault="00A4310F" w:rsidP="00B13E1D">
      <w:pPr>
        <w:spacing w:before="0" w:after="0" w:line="240" w:lineRule="auto"/>
        <w:jc w:val="center"/>
        <w:rPr>
          <w:rFonts w:cs="Times New Roman"/>
          <w:sz w:val="24"/>
          <w:szCs w:val="24"/>
        </w:rPr>
      </w:pPr>
      <w:r>
        <w:rPr>
          <w:rFonts w:cs="Times New Roman"/>
          <w:noProof/>
          <w:sz w:val="24"/>
          <w:szCs w:val="24"/>
          <w:lang w:val="es-EC" w:eastAsia="es-EC"/>
        </w:rPr>
        <w:drawing>
          <wp:inline distT="0" distB="0" distL="0" distR="0" wp14:anchorId="0A03E368" wp14:editId="273EDDBE">
            <wp:extent cx="5618480" cy="3276600"/>
            <wp:effectExtent l="0" t="0" r="1270" b="0"/>
            <wp:docPr id="18" name="Imagen 1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Map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7884" cy="3287916"/>
                    </a:xfrm>
                    <a:prstGeom prst="rect">
                      <a:avLst/>
                    </a:prstGeom>
                  </pic:spPr>
                </pic:pic>
              </a:graphicData>
            </a:graphic>
          </wp:inline>
        </w:drawing>
      </w:r>
    </w:p>
    <w:p w14:paraId="40880C2E" w14:textId="1240A49F" w:rsidR="005C177C" w:rsidRPr="00243BD9" w:rsidRDefault="005C177C" w:rsidP="00243BD9">
      <w:pPr>
        <w:spacing w:before="0" w:after="0" w:line="240" w:lineRule="auto"/>
        <w:jc w:val="center"/>
        <w:rPr>
          <w:rFonts w:cs="Times New Roman"/>
        </w:rPr>
      </w:pPr>
      <w:r w:rsidRPr="00243BD9">
        <w:rPr>
          <w:rFonts w:cs="Times New Roman"/>
        </w:rPr>
        <w:t>Figura 2. Distribución de ramales en la microcuenca de la quebrada Barbillas</w:t>
      </w:r>
    </w:p>
    <w:p w14:paraId="54A524AF" w14:textId="7720CDE7" w:rsidR="00D06E39" w:rsidRPr="00243BD9" w:rsidRDefault="00D06E39" w:rsidP="00243BD9">
      <w:pPr>
        <w:spacing w:before="0" w:line="240" w:lineRule="auto"/>
        <w:jc w:val="center"/>
        <w:rPr>
          <w:rFonts w:cs="Times New Roman"/>
        </w:rPr>
      </w:pPr>
      <w:r w:rsidRPr="00243BD9">
        <w:rPr>
          <w:rFonts w:cs="Times New Roman"/>
        </w:rPr>
        <w:t>Fuente: los Autores</w:t>
      </w:r>
    </w:p>
    <w:p w14:paraId="0A54E8CC" w14:textId="6ECCAEC1" w:rsidR="000247A1" w:rsidRPr="00F70D71" w:rsidRDefault="00637BD2" w:rsidP="00B13E1D">
      <w:pPr>
        <w:spacing w:before="0" w:after="0" w:line="240" w:lineRule="auto"/>
        <w:jc w:val="center"/>
        <w:rPr>
          <w:rFonts w:cs="Times New Roman"/>
          <w:sz w:val="24"/>
          <w:szCs w:val="24"/>
        </w:rPr>
      </w:pPr>
      <w:r>
        <w:rPr>
          <w:rFonts w:cs="Times New Roman"/>
          <w:noProof/>
          <w:sz w:val="24"/>
          <w:szCs w:val="24"/>
          <w:lang w:val="es-EC" w:eastAsia="es-EC"/>
        </w:rPr>
        <w:lastRenderedPageBreak/>
        <w:drawing>
          <wp:inline distT="0" distB="0" distL="0" distR="0" wp14:anchorId="3D5926D0" wp14:editId="4D246A4C">
            <wp:extent cx="5819140" cy="3314700"/>
            <wp:effectExtent l="0" t="0" r="0" b="0"/>
            <wp:docPr id="19" name="Imagen 1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Map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3404" cy="3317129"/>
                    </a:xfrm>
                    <a:prstGeom prst="rect">
                      <a:avLst/>
                    </a:prstGeom>
                  </pic:spPr>
                </pic:pic>
              </a:graphicData>
            </a:graphic>
          </wp:inline>
        </w:drawing>
      </w:r>
    </w:p>
    <w:p w14:paraId="7673815E" w14:textId="4FD93CB2" w:rsidR="000247A1" w:rsidRPr="00F70D71" w:rsidRDefault="00637BD2" w:rsidP="00B13E1D">
      <w:pPr>
        <w:spacing w:before="0" w:after="0" w:line="240" w:lineRule="auto"/>
        <w:jc w:val="center"/>
        <w:rPr>
          <w:rFonts w:cs="Times New Roman"/>
          <w:sz w:val="24"/>
          <w:szCs w:val="24"/>
        </w:rPr>
      </w:pPr>
      <w:r>
        <w:rPr>
          <w:rFonts w:cs="Times New Roman"/>
          <w:noProof/>
          <w:sz w:val="24"/>
          <w:szCs w:val="24"/>
          <w:lang w:val="es-EC" w:eastAsia="es-EC"/>
        </w:rPr>
        <w:drawing>
          <wp:inline distT="0" distB="0" distL="0" distR="0" wp14:anchorId="5BFA683B" wp14:editId="3E914AFF">
            <wp:extent cx="3181204" cy="693675"/>
            <wp:effectExtent l="0" t="0" r="635" b="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5780" cy="707756"/>
                    </a:xfrm>
                    <a:prstGeom prst="rect">
                      <a:avLst/>
                    </a:prstGeom>
                  </pic:spPr>
                </pic:pic>
              </a:graphicData>
            </a:graphic>
          </wp:inline>
        </w:drawing>
      </w:r>
    </w:p>
    <w:p w14:paraId="09A212F5" w14:textId="77777777" w:rsidR="001D3E5D" w:rsidRDefault="001D3E5D" w:rsidP="001D3E5D">
      <w:pPr>
        <w:spacing w:before="0" w:after="0" w:line="240" w:lineRule="auto"/>
        <w:jc w:val="center"/>
        <w:rPr>
          <w:rFonts w:cs="Times New Roman"/>
        </w:rPr>
      </w:pPr>
    </w:p>
    <w:p w14:paraId="35F4A585" w14:textId="29BDE99E" w:rsidR="001D3E5D" w:rsidRPr="001D3E5D" w:rsidRDefault="001D3E5D" w:rsidP="001D3E5D">
      <w:pPr>
        <w:spacing w:before="0" w:after="0" w:line="240" w:lineRule="auto"/>
        <w:jc w:val="center"/>
        <w:rPr>
          <w:rFonts w:cs="Times New Roman"/>
        </w:rPr>
      </w:pPr>
      <w:r w:rsidRPr="008E57F0">
        <w:rPr>
          <w:rFonts w:cs="Times New Roman"/>
        </w:rPr>
        <w:t>Figura 3. Distribución del agua superficial de la Microcuenca de la Quebrada Barbillas</w:t>
      </w:r>
    </w:p>
    <w:p w14:paraId="79666208" w14:textId="42E713F0" w:rsidR="006D333C" w:rsidRDefault="006D333C" w:rsidP="007B6A5D">
      <w:pPr>
        <w:spacing w:before="0" w:line="240" w:lineRule="auto"/>
        <w:jc w:val="center"/>
        <w:rPr>
          <w:rFonts w:cs="Times New Roman"/>
          <w:sz w:val="24"/>
          <w:szCs w:val="24"/>
        </w:rPr>
      </w:pPr>
      <w:r>
        <w:rPr>
          <w:rFonts w:cs="Times New Roman"/>
          <w:sz w:val="24"/>
          <w:szCs w:val="24"/>
        </w:rPr>
        <w:t>Fuente: los Autores</w:t>
      </w:r>
    </w:p>
    <w:p w14:paraId="0319372D" w14:textId="20FB518F" w:rsidR="006D333C" w:rsidRDefault="006D333C" w:rsidP="00B13E1D">
      <w:pPr>
        <w:spacing w:before="0" w:after="0" w:line="240" w:lineRule="auto"/>
        <w:jc w:val="center"/>
        <w:rPr>
          <w:rFonts w:cs="Times New Roman"/>
          <w:sz w:val="24"/>
          <w:szCs w:val="24"/>
        </w:rPr>
      </w:pPr>
    </w:p>
    <w:p w14:paraId="002B098C" w14:textId="2C2D35B8" w:rsidR="000247A1" w:rsidRPr="00F70D71" w:rsidRDefault="00926F22" w:rsidP="00392D3F">
      <w:pPr>
        <w:spacing w:before="0" w:after="0" w:line="240" w:lineRule="auto"/>
        <w:ind w:firstLine="567"/>
        <w:rPr>
          <w:rFonts w:cs="Times New Roman"/>
          <w:sz w:val="24"/>
          <w:szCs w:val="24"/>
        </w:rPr>
      </w:pPr>
      <w:r w:rsidRPr="00F70D71">
        <w:rPr>
          <w:rFonts w:cs="Times New Roman"/>
          <w:sz w:val="24"/>
          <w:szCs w:val="24"/>
        </w:rPr>
        <w:t>Las características de los suelos relacionadas con la humedad aprovechable y la capacidad de almacenamiento (CA) se ilustran en la tabla 3. De ella, el último valor en la tabla es la capacidad de almacenamiento del primer horizonte en su límite líquido (LL).</w:t>
      </w:r>
    </w:p>
    <w:p w14:paraId="0E19FE5A" w14:textId="0D60CEB9" w:rsidR="000247A1" w:rsidRPr="00F70D71" w:rsidRDefault="00926F22" w:rsidP="00392D3F">
      <w:pPr>
        <w:spacing w:before="0" w:after="0" w:line="240" w:lineRule="auto"/>
        <w:ind w:firstLine="567"/>
        <w:rPr>
          <w:rFonts w:cs="Times New Roman"/>
          <w:sz w:val="24"/>
          <w:szCs w:val="24"/>
        </w:rPr>
      </w:pPr>
      <w:r w:rsidRPr="00F70D71">
        <w:rPr>
          <w:rFonts w:cs="Times New Roman"/>
          <w:sz w:val="24"/>
          <w:szCs w:val="24"/>
        </w:rPr>
        <w:t>Los suelos de la microcuenca de la Quebrada Barbillas se caracterizan por tener variabilidad media en cuanto a las propiedades físicas evaluadas. Sin embargo, la densidad aparente presenta un coeficiente de variación - CV bajo, con respecto a las demás propiedades y valores que no varían entre sí, en gran medida, dadas las condiciones de uso y manejo de los suelos. En contraste y particularmente, el CV de la cantidad de fragmentos de roca (FR) presentes en el suelo es más alto, atributo determinante en que la capacidad de almacenamiento (CA) oscil</w:t>
      </w:r>
      <w:r w:rsidR="001A3F60">
        <w:rPr>
          <w:rFonts w:cs="Times New Roman"/>
          <w:sz w:val="24"/>
          <w:szCs w:val="24"/>
        </w:rPr>
        <w:t>e</w:t>
      </w:r>
      <w:r w:rsidRPr="00F70D71">
        <w:rPr>
          <w:rFonts w:cs="Times New Roman"/>
          <w:sz w:val="24"/>
          <w:szCs w:val="24"/>
        </w:rPr>
        <w:t xml:space="preserve"> desde muy baja hasta muy alta. </w:t>
      </w:r>
    </w:p>
    <w:p w14:paraId="163F88E8" w14:textId="61B6A363" w:rsidR="000247A1" w:rsidRPr="006301E4" w:rsidRDefault="006301E4" w:rsidP="00B13E1D">
      <w:pPr>
        <w:spacing w:line="240" w:lineRule="auto"/>
        <w:rPr>
          <w:rFonts w:cs="Times New Roman"/>
        </w:rPr>
      </w:pPr>
      <w:r w:rsidRPr="006301E4">
        <w:rPr>
          <w:rFonts w:cs="Times New Roman"/>
        </w:rPr>
        <w:t>T</w:t>
      </w:r>
      <w:r w:rsidR="00392D3F">
        <w:rPr>
          <w:rFonts w:cs="Times New Roman"/>
        </w:rPr>
        <w:t>abla</w:t>
      </w:r>
      <w:r w:rsidRPr="006301E4">
        <w:rPr>
          <w:rFonts w:cs="Times New Roman"/>
        </w:rPr>
        <w:t xml:space="preserve"> 3.  ESTADÍSTICA DESCRIPTIVA DE LAS CARACTERÍSTICAS DE LOS SUELOS. </w:t>
      </w:r>
    </w:p>
    <w:tbl>
      <w:tblPr>
        <w:tblW w:w="8638" w:type="dxa"/>
        <w:tblInd w:w="421"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268"/>
        <w:gridCol w:w="841"/>
        <w:gridCol w:w="1054"/>
        <w:gridCol w:w="1356"/>
        <w:gridCol w:w="993"/>
        <w:gridCol w:w="992"/>
        <w:gridCol w:w="1134"/>
      </w:tblGrid>
      <w:tr w:rsidR="000247A1" w:rsidRPr="00D225CC" w14:paraId="56C4F649" w14:textId="77777777" w:rsidTr="00392D3F">
        <w:trPr>
          <w:trHeight w:val="270"/>
        </w:trPr>
        <w:tc>
          <w:tcPr>
            <w:tcW w:w="2268" w:type="dxa"/>
            <w:shd w:val="clear" w:color="auto" w:fill="auto"/>
            <w:vAlign w:val="bottom"/>
          </w:tcPr>
          <w:p w14:paraId="1E73F5B2" w14:textId="7A4A7293" w:rsidR="000247A1" w:rsidRPr="00392D3F" w:rsidRDefault="000247A1" w:rsidP="00FB634E">
            <w:pPr>
              <w:spacing w:before="0" w:after="0" w:line="360" w:lineRule="auto"/>
              <w:jc w:val="center"/>
              <w:rPr>
                <w:rFonts w:eastAsia="Times New Roman" w:cs="Times New Roman"/>
                <w:color w:val="000000"/>
                <w:sz w:val="21"/>
                <w:szCs w:val="21"/>
                <w:lang w:eastAsia="es-CO"/>
              </w:rPr>
            </w:pPr>
          </w:p>
        </w:tc>
        <w:tc>
          <w:tcPr>
            <w:tcW w:w="841" w:type="dxa"/>
            <w:shd w:val="clear" w:color="auto" w:fill="auto"/>
            <w:vAlign w:val="bottom"/>
          </w:tcPr>
          <w:p w14:paraId="61A56949"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Media</w:t>
            </w:r>
          </w:p>
        </w:tc>
        <w:tc>
          <w:tcPr>
            <w:tcW w:w="1054" w:type="dxa"/>
            <w:shd w:val="clear" w:color="auto" w:fill="auto"/>
            <w:vAlign w:val="bottom"/>
          </w:tcPr>
          <w:p w14:paraId="21C50DB5"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Mediana</w:t>
            </w:r>
          </w:p>
        </w:tc>
        <w:tc>
          <w:tcPr>
            <w:tcW w:w="1356" w:type="dxa"/>
            <w:shd w:val="clear" w:color="auto" w:fill="auto"/>
            <w:vAlign w:val="bottom"/>
          </w:tcPr>
          <w:p w14:paraId="1FAB99B8"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proofErr w:type="spellStart"/>
            <w:r w:rsidRPr="00392D3F">
              <w:rPr>
                <w:rFonts w:eastAsia="Times New Roman" w:cs="Times New Roman"/>
                <w:color w:val="000000"/>
                <w:sz w:val="21"/>
                <w:szCs w:val="21"/>
                <w:lang w:eastAsia="es-CO"/>
              </w:rPr>
              <w:t>Desv</w:t>
            </w:r>
            <w:proofErr w:type="spellEnd"/>
            <w:r w:rsidRPr="00392D3F">
              <w:rPr>
                <w:rFonts w:eastAsia="Times New Roman" w:cs="Times New Roman"/>
                <w:color w:val="000000"/>
                <w:sz w:val="21"/>
                <w:szCs w:val="21"/>
                <w:lang w:eastAsia="es-CO"/>
              </w:rPr>
              <w:t>. Estándar</w:t>
            </w:r>
          </w:p>
        </w:tc>
        <w:tc>
          <w:tcPr>
            <w:tcW w:w="993" w:type="dxa"/>
            <w:shd w:val="clear" w:color="auto" w:fill="auto"/>
            <w:vAlign w:val="bottom"/>
          </w:tcPr>
          <w:p w14:paraId="1534EDD4"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CV</w:t>
            </w:r>
          </w:p>
        </w:tc>
        <w:tc>
          <w:tcPr>
            <w:tcW w:w="992" w:type="dxa"/>
            <w:shd w:val="clear" w:color="auto" w:fill="auto"/>
            <w:vAlign w:val="bottom"/>
          </w:tcPr>
          <w:p w14:paraId="2A94AA85"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Mínimo</w:t>
            </w:r>
          </w:p>
        </w:tc>
        <w:tc>
          <w:tcPr>
            <w:tcW w:w="1134" w:type="dxa"/>
            <w:shd w:val="clear" w:color="auto" w:fill="auto"/>
            <w:vAlign w:val="bottom"/>
          </w:tcPr>
          <w:p w14:paraId="245E7541"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Máximo</w:t>
            </w:r>
          </w:p>
        </w:tc>
      </w:tr>
      <w:tr w:rsidR="000247A1" w:rsidRPr="00D225CC" w14:paraId="737BB191" w14:textId="77777777" w:rsidTr="00392D3F">
        <w:trPr>
          <w:trHeight w:val="270"/>
        </w:trPr>
        <w:tc>
          <w:tcPr>
            <w:tcW w:w="2268" w:type="dxa"/>
            <w:shd w:val="clear" w:color="auto" w:fill="auto"/>
            <w:vAlign w:val="bottom"/>
          </w:tcPr>
          <w:p w14:paraId="5D2926C9" w14:textId="77777777" w:rsidR="000247A1" w:rsidRPr="00392D3F" w:rsidRDefault="00926F22" w:rsidP="00392D3F">
            <w:pPr>
              <w:spacing w:before="0" w:after="0" w:line="360" w:lineRule="auto"/>
              <w:jc w:val="left"/>
              <w:rPr>
                <w:rFonts w:eastAsia="Times New Roman" w:cs="Times New Roman"/>
                <w:color w:val="000000"/>
                <w:sz w:val="21"/>
                <w:szCs w:val="21"/>
                <w:lang w:eastAsia="es-CO"/>
              </w:rPr>
            </w:pPr>
            <w:r w:rsidRPr="00392D3F">
              <w:rPr>
                <w:rFonts w:eastAsia="Times New Roman" w:cs="Times New Roman"/>
                <w:color w:val="000000"/>
                <w:sz w:val="21"/>
                <w:szCs w:val="21"/>
                <w:lang w:eastAsia="es-CO"/>
              </w:rPr>
              <w:t>Prof. Efectiva (cm)</w:t>
            </w:r>
          </w:p>
        </w:tc>
        <w:tc>
          <w:tcPr>
            <w:tcW w:w="841" w:type="dxa"/>
            <w:shd w:val="clear" w:color="auto" w:fill="auto"/>
            <w:vAlign w:val="bottom"/>
          </w:tcPr>
          <w:p w14:paraId="0EC1C5D0"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74,05</w:t>
            </w:r>
          </w:p>
        </w:tc>
        <w:tc>
          <w:tcPr>
            <w:tcW w:w="1054" w:type="dxa"/>
            <w:shd w:val="clear" w:color="auto" w:fill="auto"/>
            <w:vAlign w:val="bottom"/>
          </w:tcPr>
          <w:p w14:paraId="3ACE7968"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100,00</w:t>
            </w:r>
          </w:p>
        </w:tc>
        <w:tc>
          <w:tcPr>
            <w:tcW w:w="1356" w:type="dxa"/>
            <w:shd w:val="clear" w:color="auto" w:fill="auto"/>
            <w:vAlign w:val="bottom"/>
          </w:tcPr>
          <w:p w14:paraId="1E145124"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31,90</w:t>
            </w:r>
          </w:p>
        </w:tc>
        <w:tc>
          <w:tcPr>
            <w:tcW w:w="993" w:type="dxa"/>
            <w:shd w:val="clear" w:color="auto" w:fill="auto"/>
            <w:vAlign w:val="bottom"/>
          </w:tcPr>
          <w:p w14:paraId="0C799B10"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43,08%</w:t>
            </w:r>
          </w:p>
        </w:tc>
        <w:tc>
          <w:tcPr>
            <w:tcW w:w="992" w:type="dxa"/>
            <w:shd w:val="clear" w:color="auto" w:fill="auto"/>
            <w:vAlign w:val="bottom"/>
          </w:tcPr>
          <w:p w14:paraId="303E6524"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15,00</w:t>
            </w:r>
          </w:p>
        </w:tc>
        <w:tc>
          <w:tcPr>
            <w:tcW w:w="1134" w:type="dxa"/>
            <w:shd w:val="clear" w:color="auto" w:fill="auto"/>
            <w:vAlign w:val="bottom"/>
          </w:tcPr>
          <w:p w14:paraId="64BAF5FC"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100,00</w:t>
            </w:r>
          </w:p>
        </w:tc>
      </w:tr>
      <w:tr w:rsidR="000247A1" w:rsidRPr="00D225CC" w14:paraId="054D7826" w14:textId="77777777" w:rsidTr="00392D3F">
        <w:trPr>
          <w:trHeight w:val="270"/>
        </w:trPr>
        <w:tc>
          <w:tcPr>
            <w:tcW w:w="2268" w:type="dxa"/>
            <w:shd w:val="clear" w:color="auto" w:fill="auto"/>
            <w:vAlign w:val="bottom"/>
          </w:tcPr>
          <w:p w14:paraId="6B57EC87" w14:textId="77777777" w:rsidR="000247A1" w:rsidRPr="00392D3F" w:rsidRDefault="00926F22" w:rsidP="00392D3F">
            <w:pPr>
              <w:spacing w:before="0" w:after="0" w:line="360" w:lineRule="auto"/>
              <w:jc w:val="left"/>
              <w:rPr>
                <w:rFonts w:eastAsia="Times New Roman" w:cs="Times New Roman"/>
                <w:color w:val="000000"/>
                <w:sz w:val="21"/>
                <w:szCs w:val="21"/>
                <w:lang w:eastAsia="es-CO"/>
              </w:rPr>
            </w:pPr>
            <w:r w:rsidRPr="00392D3F">
              <w:rPr>
                <w:rFonts w:eastAsia="Times New Roman" w:cs="Times New Roman"/>
                <w:color w:val="000000"/>
                <w:sz w:val="21"/>
                <w:szCs w:val="21"/>
                <w:lang w:eastAsia="es-CO"/>
              </w:rPr>
              <w:t>% F.R</w:t>
            </w:r>
          </w:p>
        </w:tc>
        <w:tc>
          <w:tcPr>
            <w:tcW w:w="841" w:type="dxa"/>
            <w:shd w:val="clear" w:color="auto" w:fill="auto"/>
            <w:vAlign w:val="bottom"/>
          </w:tcPr>
          <w:p w14:paraId="2719E3C4"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22,68</w:t>
            </w:r>
          </w:p>
        </w:tc>
        <w:tc>
          <w:tcPr>
            <w:tcW w:w="1054" w:type="dxa"/>
            <w:shd w:val="clear" w:color="auto" w:fill="auto"/>
            <w:vAlign w:val="bottom"/>
          </w:tcPr>
          <w:p w14:paraId="27439F43"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19,99</w:t>
            </w:r>
          </w:p>
        </w:tc>
        <w:tc>
          <w:tcPr>
            <w:tcW w:w="1356" w:type="dxa"/>
            <w:shd w:val="clear" w:color="auto" w:fill="auto"/>
            <w:vAlign w:val="bottom"/>
          </w:tcPr>
          <w:p w14:paraId="684184A3"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16,15</w:t>
            </w:r>
          </w:p>
        </w:tc>
        <w:tc>
          <w:tcPr>
            <w:tcW w:w="993" w:type="dxa"/>
            <w:shd w:val="clear" w:color="auto" w:fill="auto"/>
            <w:vAlign w:val="bottom"/>
          </w:tcPr>
          <w:p w14:paraId="348A3D01"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71,23%</w:t>
            </w:r>
          </w:p>
        </w:tc>
        <w:tc>
          <w:tcPr>
            <w:tcW w:w="992" w:type="dxa"/>
            <w:shd w:val="clear" w:color="auto" w:fill="auto"/>
            <w:vAlign w:val="bottom"/>
          </w:tcPr>
          <w:p w14:paraId="36531665"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3,92</w:t>
            </w:r>
          </w:p>
        </w:tc>
        <w:tc>
          <w:tcPr>
            <w:tcW w:w="1134" w:type="dxa"/>
            <w:shd w:val="clear" w:color="auto" w:fill="auto"/>
            <w:vAlign w:val="bottom"/>
          </w:tcPr>
          <w:p w14:paraId="2C8F0206"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65,13</w:t>
            </w:r>
          </w:p>
        </w:tc>
      </w:tr>
      <w:tr w:rsidR="000247A1" w:rsidRPr="00D225CC" w14:paraId="4EFBE91A" w14:textId="77777777" w:rsidTr="00392D3F">
        <w:trPr>
          <w:trHeight w:val="270"/>
        </w:trPr>
        <w:tc>
          <w:tcPr>
            <w:tcW w:w="2268" w:type="dxa"/>
            <w:shd w:val="clear" w:color="auto" w:fill="auto"/>
            <w:vAlign w:val="bottom"/>
          </w:tcPr>
          <w:p w14:paraId="080706BA" w14:textId="77777777" w:rsidR="000247A1" w:rsidRPr="00392D3F" w:rsidRDefault="00926F22" w:rsidP="00392D3F">
            <w:pPr>
              <w:spacing w:before="0" w:after="0" w:line="360" w:lineRule="auto"/>
              <w:jc w:val="left"/>
              <w:rPr>
                <w:rFonts w:eastAsia="Times New Roman" w:cs="Times New Roman"/>
                <w:color w:val="000000"/>
                <w:sz w:val="21"/>
                <w:szCs w:val="21"/>
                <w:lang w:eastAsia="es-CO"/>
              </w:rPr>
            </w:pPr>
            <w:r w:rsidRPr="00392D3F">
              <w:rPr>
                <w:rFonts w:eastAsia="Times New Roman" w:cs="Times New Roman"/>
                <w:color w:val="000000"/>
                <w:sz w:val="21"/>
                <w:szCs w:val="21"/>
                <w:lang w:eastAsia="es-CO"/>
              </w:rPr>
              <w:t>% HA</w:t>
            </w:r>
          </w:p>
        </w:tc>
        <w:tc>
          <w:tcPr>
            <w:tcW w:w="841" w:type="dxa"/>
            <w:shd w:val="clear" w:color="auto" w:fill="auto"/>
            <w:vAlign w:val="bottom"/>
          </w:tcPr>
          <w:p w14:paraId="1099B489"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14,89</w:t>
            </w:r>
          </w:p>
        </w:tc>
        <w:tc>
          <w:tcPr>
            <w:tcW w:w="1054" w:type="dxa"/>
            <w:shd w:val="clear" w:color="auto" w:fill="auto"/>
            <w:vAlign w:val="bottom"/>
          </w:tcPr>
          <w:p w14:paraId="73AFB0A0"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13,15</w:t>
            </w:r>
          </w:p>
        </w:tc>
        <w:tc>
          <w:tcPr>
            <w:tcW w:w="1356" w:type="dxa"/>
            <w:shd w:val="clear" w:color="auto" w:fill="auto"/>
            <w:vAlign w:val="bottom"/>
          </w:tcPr>
          <w:p w14:paraId="3617E78E"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6,34</w:t>
            </w:r>
          </w:p>
        </w:tc>
        <w:tc>
          <w:tcPr>
            <w:tcW w:w="993" w:type="dxa"/>
            <w:shd w:val="clear" w:color="auto" w:fill="auto"/>
            <w:vAlign w:val="bottom"/>
          </w:tcPr>
          <w:p w14:paraId="4E1B0F1F"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42,58%</w:t>
            </w:r>
          </w:p>
        </w:tc>
        <w:tc>
          <w:tcPr>
            <w:tcW w:w="992" w:type="dxa"/>
            <w:shd w:val="clear" w:color="auto" w:fill="auto"/>
            <w:vAlign w:val="bottom"/>
          </w:tcPr>
          <w:p w14:paraId="7F1FFE9C"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6,54</w:t>
            </w:r>
          </w:p>
        </w:tc>
        <w:tc>
          <w:tcPr>
            <w:tcW w:w="1134" w:type="dxa"/>
            <w:shd w:val="clear" w:color="auto" w:fill="auto"/>
            <w:vAlign w:val="bottom"/>
          </w:tcPr>
          <w:p w14:paraId="0977AB86"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36,89</w:t>
            </w:r>
          </w:p>
        </w:tc>
      </w:tr>
      <w:tr w:rsidR="000247A1" w:rsidRPr="00D225CC" w14:paraId="53D83B53" w14:textId="77777777" w:rsidTr="00392D3F">
        <w:trPr>
          <w:trHeight w:val="270"/>
        </w:trPr>
        <w:tc>
          <w:tcPr>
            <w:tcW w:w="2268" w:type="dxa"/>
            <w:shd w:val="clear" w:color="auto" w:fill="auto"/>
            <w:vAlign w:val="bottom"/>
          </w:tcPr>
          <w:p w14:paraId="312A77D8" w14:textId="77777777" w:rsidR="000247A1" w:rsidRPr="00392D3F" w:rsidRDefault="00926F22" w:rsidP="00392D3F">
            <w:pPr>
              <w:spacing w:before="0" w:after="0" w:line="360" w:lineRule="auto"/>
              <w:jc w:val="left"/>
              <w:rPr>
                <w:rFonts w:eastAsia="Times New Roman" w:cs="Times New Roman"/>
                <w:color w:val="000000"/>
                <w:sz w:val="21"/>
                <w:szCs w:val="21"/>
                <w:lang w:eastAsia="es-CO"/>
              </w:rPr>
            </w:pPr>
            <w:r w:rsidRPr="00392D3F">
              <w:rPr>
                <w:rFonts w:eastAsia="Times New Roman" w:cs="Times New Roman"/>
                <w:color w:val="000000"/>
                <w:sz w:val="21"/>
                <w:szCs w:val="21"/>
                <w:lang w:eastAsia="es-CO"/>
              </w:rPr>
              <w:t>Da (gr.cm</w:t>
            </w:r>
            <w:r w:rsidRPr="00392D3F">
              <w:rPr>
                <w:rFonts w:eastAsia="Times New Roman" w:cs="Times New Roman"/>
                <w:color w:val="000000"/>
                <w:sz w:val="21"/>
                <w:szCs w:val="21"/>
                <w:vertAlign w:val="superscript"/>
                <w:lang w:eastAsia="es-CO"/>
              </w:rPr>
              <w:t>-3</w:t>
            </w:r>
            <w:r w:rsidRPr="00392D3F">
              <w:rPr>
                <w:rFonts w:eastAsia="Times New Roman" w:cs="Times New Roman"/>
                <w:color w:val="000000"/>
                <w:sz w:val="21"/>
                <w:szCs w:val="21"/>
                <w:lang w:eastAsia="es-CO"/>
              </w:rPr>
              <w:t>)</w:t>
            </w:r>
          </w:p>
        </w:tc>
        <w:tc>
          <w:tcPr>
            <w:tcW w:w="841" w:type="dxa"/>
            <w:shd w:val="clear" w:color="auto" w:fill="auto"/>
            <w:vAlign w:val="bottom"/>
          </w:tcPr>
          <w:p w14:paraId="45445470"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1,23</w:t>
            </w:r>
          </w:p>
        </w:tc>
        <w:tc>
          <w:tcPr>
            <w:tcW w:w="1054" w:type="dxa"/>
            <w:shd w:val="clear" w:color="auto" w:fill="auto"/>
            <w:vAlign w:val="bottom"/>
          </w:tcPr>
          <w:p w14:paraId="696824A7"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1,26</w:t>
            </w:r>
          </w:p>
        </w:tc>
        <w:tc>
          <w:tcPr>
            <w:tcW w:w="1356" w:type="dxa"/>
            <w:shd w:val="clear" w:color="auto" w:fill="auto"/>
            <w:vAlign w:val="bottom"/>
          </w:tcPr>
          <w:p w14:paraId="5B52FDF2"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0,23</w:t>
            </w:r>
          </w:p>
        </w:tc>
        <w:tc>
          <w:tcPr>
            <w:tcW w:w="993" w:type="dxa"/>
            <w:shd w:val="clear" w:color="auto" w:fill="auto"/>
            <w:vAlign w:val="bottom"/>
          </w:tcPr>
          <w:p w14:paraId="19E5209B"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18,88%</w:t>
            </w:r>
          </w:p>
        </w:tc>
        <w:tc>
          <w:tcPr>
            <w:tcW w:w="992" w:type="dxa"/>
            <w:shd w:val="clear" w:color="auto" w:fill="auto"/>
            <w:vAlign w:val="bottom"/>
          </w:tcPr>
          <w:p w14:paraId="06209F2C"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0,70</w:t>
            </w:r>
          </w:p>
        </w:tc>
        <w:tc>
          <w:tcPr>
            <w:tcW w:w="1134" w:type="dxa"/>
            <w:shd w:val="clear" w:color="auto" w:fill="auto"/>
            <w:vAlign w:val="bottom"/>
          </w:tcPr>
          <w:p w14:paraId="2C870BB0"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1,59</w:t>
            </w:r>
          </w:p>
        </w:tc>
      </w:tr>
      <w:tr w:rsidR="000247A1" w:rsidRPr="00D225CC" w14:paraId="2EC04DE9" w14:textId="77777777" w:rsidTr="00392D3F">
        <w:trPr>
          <w:trHeight w:val="270"/>
        </w:trPr>
        <w:tc>
          <w:tcPr>
            <w:tcW w:w="2268" w:type="dxa"/>
            <w:shd w:val="clear" w:color="auto" w:fill="auto"/>
            <w:vAlign w:val="bottom"/>
          </w:tcPr>
          <w:p w14:paraId="2968B792" w14:textId="77777777" w:rsidR="000247A1" w:rsidRPr="00392D3F" w:rsidRDefault="00926F22" w:rsidP="00392D3F">
            <w:pPr>
              <w:spacing w:before="0" w:after="0" w:line="360" w:lineRule="auto"/>
              <w:jc w:val="left"/>
              <w:rPr>
                <w:rFonts w:eastAsia="Times New Roman" w:cs="Times New Roman"/>
                <w:color w:val="000000"/>
                <w:sz w:val="21"/>
                <w:szCs w:val="21"/>
                <w:lang w:eastAsia="es-CO"/>
              </w:rPr>
            </w:pPr>
            <w:r w:rsidRPr="00392D3F">
              <w:rPr>
                <w:rFonts w:eastAsia="Times New Roman" w:cs="Times New Roman"/>
                <w:color w:val="000000"/>
                <w:sz w:val="21"/>
                <w:szCs w:val="21"/>
                <w:lang w:eastAsia="es-CO"/>
              </w:rPr>
              <w:t>CA (</w:t>
            </w:r>
            <w:proofErr w:type="spellStart"/>
            <w:r w:rsidRPr="00392D3F">
              <w:rPr>
                <w:rFonts w:eastAsia="Times New Roman" w:cs="Times New Roman"/>
                <w:color w:val="000000"/>
                <w:sz w:val="21"/>
                <w:szCs w:val="21"/>
                <w:lang w:eastAsia="es-CO"/>
              </w:rPr>
              <w:t>prof.</w:t>
            </w:r>
            <w:proofErr w:type="spellEnd"/>
            <w:r w:rsidRPr="00392D3F">
              <w:rPr>
                <w:rFonts w:eastAsia="Times New Roman" w:cs="Times New Roman"/>
                <w:color w:val="000000"/>
                <w:sz w:val="21"/>
                <w:szCs w:val="21"/>
                <w:lang w:eastAsia="es-CO"/>
              </w:rPr>
              <w:t xml:space="preserve"> Efectiva, mm)</w:t>
            </w:r>
          </w:p>
        </w:tc>
        <w:tc>
          <w:tcPr>
            <w:tcW w:w="841" w:type="dxa"/>
            <w:shd w:val="clear" w:color="auto" w:fill="auto"/>
            <w:vAlign w:val="bottom"/>
          </w:tcPr>
          <w:p w14:paraId="31571C67"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101,17</w:t>
            </w:r>
          </w:p>
        </w:tc>
        <w:tc>
          <w:tcPr>
            <w:tcW w:w="1054" w:type="dxa"/>
            <w:shd w:val="clear" w:color="auto" w:fill="auto"/>
            <w:vAlign w:val="bottom"/>
          </w:tcPr>
          <w:p w14:paraId="75E97661"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101,62</w:t>
            </w:r>
          </w:p>
        </w:tc>
        <w:tc>
          <w:tcPr>
            <w:tcW w:w="1356" w:type="dxa"/>
            <w:shd w:val="clear" w:color="auto" w:fill="auto"/>
            <w:vAlign w:val="bottom"/>
          </w:tcPr>
          <w:p w14:paraId="186F54B6"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68,72</w:t>
            </w:r>
          </w:p>
        </w:tc>
        <w:tc>
          <w:tcPr>
            <w:tcW w:w="993" w:type="dxa"/>
            <w:shd w:val="clear" w:color="auto" w:fill="auto"/>
            <w:vAlign w:val="bottom"/>
          </w:tcPr>
          <w:p w14:paraId="02118C22"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67,92%</w:t>
            </w:r>
          </w:p>
        </w:tc>
        <w:tc>
          <w:tcPr>
            <w:tcW w:w="992" w:type="dxa"/>
            <w:shd w:val="clear" w:color="auto" w:fill="auto"/>
            <w:vAlign w:val="bottom"/>
          </w:tcPr>
          <w:p w14:paraId="7639A8CC"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0,00</w:t>
            </w:r>
          </w:p>
        </w:tc>
        <w:tc>
          <w:tcPr>
            <w:tcW w:w="1134" w:type="dxa"/>
            <w:shd w:val="clear" w:color="auto" w:fill="auto"/>
            <w:vAlign w:val="bottom"/>
          </w:tcPr>
          <w:p w14:paraId="1D0DA003"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255,94</w:t>
            </w:r>
          </w:p>
        </w:tc>
      </w:tr>
      <w:tr w:rsidR="000247A1" w:rsidRPr="00D225CC" w14:paraId="7B7A75CD" w14:textId="77777777" w:rsidTr="00392D3F">
        <w:trPr>
          <w:trHeight w:val="270"/>
        </w:trPr>
        <w:tc>
          <w:tcPr>
            <w:tcW w:w="2268" w:type="dxa"/>
            <w:shd w:val="clear" w:color="auto" w:fill="auto"/>
            <w:vAlign w:val="bottom"/>
          </w:tcPr>
          <w:p w14:paraId="2279ADAD" w14:textId="77777777" w:rsidR="000247A1" w:rsidRPr="00392D3F" w:rsidRDefault="00926F22" w:rsidP="00392D3F">
            <w:pPr>
              <w:spacing w:before="0" w:after="0" w:line="360" w:lineRule="auto"/>
              <w:jc w:val="left"/>
              <w:rPr>
                <w:rFonts w:eastAsia="Times New Roman" w:cs="Times New Roman"/>
                <w:color w:val="000000"/>
                <w:sz w:val="21"/>
                <w:szCs w:val="21"/>
                <w:lang w:eastAsia="es-CO"/>
              </w:rPr>
            </w:pPr>
            <w:r w:rsidRPr="00392D3F">
              <w:rPr>
                <w:rFonts w:eastAsia="Times New Roman" w:cs="Times New Roman"/>
                <w:color w:val="000000"/>
                <w:sz w:val="21"/>
                <w:szCs w:val="21"/>
                <w:lang w:eastAsia="es-CO"/>
              </w:rPr>
              <w:t>CA (a LL, mm)</w:t>
            </w:r>
          </w:p>
        </w:tc>
        <w:tc>
          <w:tcPr>
            <w:tcW w:w="841" w:type="dxa"/>
            <w:shd w:val="clear" w:color="auto" w:fill="auto"/>
            <w:vAlign w:val="bottom"/>
          </w:tcPr>
          <w:p w14:paraId="31088B02"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93,85</w:t>
            </w:r>
          </w:p>
        </w:tc>
        <w:tc>
          <w:tcPr>
            <w:tcW w:w="1054" w:type="dxa"/>
            <w:shd w:val="clear" w:color="auto" w:fill="auto"/>
            <w:vAlign w:val="bottom"/>
          </w:tcPr>
          <w:p w14:paraId="2FC9984E"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111,65</w:t>
            </w:r>
          </w:p>
        </w:tc>
        <w:tc>
          <w:tcPr>
            <w:tcW w:w="1356" w:type="dxa"/>
            <w:shd w:val="clear" w:color="auto" w:fill="auto"/>
            <w:vAlign w:val="bottom"/>
          </w:tcPr>
          <w:p w14:paraId="63E4B43D"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66,83</w:t>
            </w:r>
          </w:p>
        </w:tc>
        <w:tc>
          <w:tcPr>
            <w:tcW w:w="993" w:type="dxa"/>
            <w:shd w:val="clear" w:color="auto" w:fill="auto"/>
            <w:vAlign w:val="bottom"/>
          </w:tcPr>
          <w:p w14:paraId="57E36213"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71,21%</w:t>
            </w:r>
          </w:p>
        </w:tc>
        <w:tc>
          <w:tcPr>
            <w:tcW w:w="992" w:type="dxa"/>
            <w:shd w:val="clear" w:color="auto" w:fill="auto"/>
            <w:vAlign w:val="bottom"/>
          </w:tcPr>
          <w:p w14:paraId="49364B8B"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0,00</w:t>
            </w:r>
          </w:p>
        </w:tc>
        <w:tc>
          <w:tcPr>
            <w:tcW w:w="1134" w:type="dxa"/>
            <w:shd w:val="clear" w:color="auto" w:fill="auto"/>
            <w:vAlign w:val="bottom"/>
          </w:tcPr>
          <w:p w14:paraId="42FCE8C4" w14:textId="77777777" w:rsidR="000247A1" w:rsidRPr="00392D3F" w:rsidRDefault="00926F22" w:rsidP="00FB634E">
            <w:pPr>
              <w:spacing w:before="0" w:after="0" w:line="360" w:lineRule="auto"/>
              <w:jc w:val="center"/>
              <w:rPr>
                <w:rFonts w:eastAsia="Times New Roman" w:cs="Times New Roman"/>
                <w:color w:val="000000"/>
                <w:sz w:val="21"/>
                <w:szCs w:val="21"/>
                <w:lang w:eastAsia="es-CO"/>
              </w:rPr>
            </w:pPr>
            <w:r w:rsidRPr="00392D3F">
              <w:rPr>
                <w:rFonts w:eastAsia="Times New Roman" w:cs="Times New Roman"/>
                <w:color w:val="000000"/>
                <w:sz w:val="21"/>
                <w:szCs w:val="21"/>
                <w:lang w:eastAsia="es-CO"/>
              </w:rPr>
              <w:t>228,80</w:t>
            </w:r>
          </w:p>
        </w:tc>
      </w:tr>
    </w:tbl>
    <w:p w14:paraId="24062812" w14:textId="77777777" w:rsidR="000247A1" w:rsidRDefault="00926F22" w:rsidP="00B13E1D">
      <w:pPr>
        <w:spacing w:line="240" w:lineRule="auto"/>
        <w:rPr>
          <w:rFonts w:cs="Times New Roman"/>
          <w:sz w:val="24"/>
          <w:szCs w:val="24"/>
        </w:rPr>
      </w:pPr>
      <w:r>
        <w:rPr>
          <w:rFonts w:cs="Times New Roman"/>
          <w:sz w:val="24"/>
          <w:szCs w:val="24"/>
        </w:rPr>
        <w:lastRenderedPageBreak/>
        <w:t>En la figura 4 se ilustra la distribución espacial de la capacidad de almacenamiento en la microcuenca en dónde, de acuerdo con el estudio realizado, los sectores de menor valor corresponden a aquellos donde la presencia de fragmentos de roca dentro del suelo es más alta y viceversa.</w:t>
      </w:r>
    </w:p>
    <w:p w14:paraId="6FBB251F" w14:textId="1B2C9104" w:rsidR="006D333C" w:rsidRDefault="00D06E39" w:rsidP="00B13E1D">
      <w:pPr>
        <w:spacing w:line="240" w:lineRule="auto"/>
        <w:jc w:val="center"/>
        <w:rPr>
          <w:rFonts w:cs="Times New Roman"/>
          <w:sz w:val="24"/>
          <w:szCs w:val="24"/>
        </w:rPr>
      </w:pPr>
      <w:r>
        <w:rPr>
          <w:noProof/>
          <w:lang w:val="es-EC" w:eastAsia="es-EC"/>
        </w:rPr>
        <w:drawing>
          <wp:anchor distT="0" distB="0" distL="0" distR="0" simplePos="0" relativeHeight="2" behindDoc="0" locked="0" layoutInCell="1" allowOverlap="1" wp14:anchorId="472CC8E2" wp14:editId="705DAB80">
            <wp:simplePos x="0" y="0"/>
            <wp:positionH relativeFrom="column">
              <wp:posOffset>728980</wp:posOffset>
            </wp:positionH>
            <wp:positionV relativeFrom="paragraph">
              <wp:posOffset>2307961</wp:posOffset>
            </wp:positionV>
            <wp:extent cx="665480" cy="768350"/>
            <wp:effectExtent l="0" t="0" r="127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pic:cNvPicPr>
                      <a:picLocks noChangeAspect="1" noChangeArrowheads="1"/>
                    </pic:cNvPicPr>
                  </pic:nvPicPr>
                  <pic:blipFill>
                    <a:blip r:embed="rId13"/>
                    <a:stretch>
                      <a:fillRect/>
                    </a:stretch>
                  </pic:blipFill>
                  <pic:spPr bwMode="auto">
                    <a:xfrm>
                      <a:off x="0" y="0"/>
                      <a:ext cx="665480" cy="768350"/>
                    </a:xfrm>
                    <a:prstGeom prst="rect">
                      <a:avLst/>
                    </a:prstGeom>
                  </pic:spPr>
                </pic:pic>
              </a:graphicData>
            </a:graphic>
          </wp:anchor>
        </w:drawing>
      </w:r>
      <w:r w:rsidR="00926F22">
        <w:rPr>
          <w:noProof/>
          <w:lang w:val="es-EC" w:eastAsia="es-EC"/>
        </w:rPr>
        <w:drawing>
          <wp:inline distT="0" distB="0" distL="0" distR="0" wp14:anchorId="138E4AEE" wp14:editId="7DC09AE6">
            <wp:extent cx="4817745" cy="3228975"/>
            <wp:effectExtent l="0" t="0" r="1905" b="9525"/>
            <wp:docPr id="6" name="image21.jpg" descr="F:\PROYECTO_CAM\MAPAS_2019\2. Capacidad de Almacena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jpg" descr="F:\PROYECTO_CAM\MAPAS_2019\2. Capacidad de Almacenamiento.jpg"/>
                    <pic:cNvPicPr>
                      <a:picLocks noChangeAspect="1" noChangeArrowheads="1"/>
                    </pic:cNvPicPr>
                  </pic:nvPicPr>
                  <pic:blipFill>
                    <a:blip r:embed="rId14"/>
                    <a:stretch>
                      <a:fillRect/>
                    </a:stretch>
                  </pic:blipFill>
                  <pic:spPr bwMode="auto">
                    <a:xfrm>
                      <a:off x="0" y="0"/>
                      <a:ext cx="4828241" cy="3236010"/>
                    </a:xfrm>
                    <a:prstGeom prst="rect">
                      <a:avLst/>
                    </a:prstGeom>
                  </pic:spPr>
                </pic:pic>
              </a:graphicData>
            </a:graphic>
          </wp:inline>
        </w:drawing>
      </w:r>
    </w:p>
    <w:p w14:paraId="325B564E" w14:textId="3E9A739B" w:rsidR="001D3E5D" w:rsidRPr="001D3E5D" w:rsidRDefault="001D3E5D" w:rsidP="00392D3F">
      <w:pPr>
        <w:spacing w:before="0" w:after="0" w:line="240" w:lineRule="auto"/>
        <w:jc w:val="center"/>
        <w:rPr>
          <w:rFonts w:cs="Times New Roman"/>
        </w:rPr>
      </w:pPr>
      <w:r w:rsidRPr="008E57F0">
        <w:rPr>
          <w:rFonts w:cs="Times New Roman"/>
        </w:rPr>
        <w:t>Figura 4. Distribución espacial de la Capacidad de Almacenamiento (CA) de agua en el suelo</w:t>
      </w:r>
    </w:p>
    <w:p w14:paraId="1B3BF1EA" w14:textId="75B8171B" w:rsidR="000247A1" w:rsidRDefault="006D333C" w:rsidP="00392D3F">
      <w:pPr>
        <w:spacing w:before="0" w:after="0" w:line="240" w:lineRule="auto"/>
        <w:jc w:val="center"/>
        <w:rPr>
          <w:rFonts w:cs="Times New Roman"/>
          <w:sz w:val="24"/>
          <w:szCs w:val="24"/>
        </w:rPr>
      </w:pPr>
      <w:r>
        <w:rPr>
          <w:rFonts w:cs="Times New Roman"/>
          <w:sz w:val="24"/>
          <w:szCs w:val="24"/>
        </w:rPr>
        <w:t>Fuente: los Autores</w:t>
      </w:r>
    </w:p>
    <w:p w14:paraId="7FD646E4" w14:textId="77777777" w:rsidR="007B6A5D" w:rsidRDefault="007B6A5D" w:rsidP="00B13E1D">
      <w:pPr>
        <w:spacing w:line="240" w:lineRule="auto"/>
        <w:rPr>
          <w:rFonts w:cs="Times New Roman"/>
          <w:b/>
          <w:bCs/>
          <w:iCs/>
          <w:sz w:val="24"/>
          <w:szCs w:val="24"/>
        </w:rPr>
      </w:pPr>
    </w:p>
    <w:p w14:paraId="05E4E455" w14:textId="1314BB66" w:rsidR="000247A1" w:rsidRPr="00E2750D" w:rsidRDefault="00E2750D" w:rsidP="00B13E1D">
      <w:pPr>
        <w:spacing w:line="240" w:lineRule="auto"/>
        <w:rPr>
          <w:rFonts w:cs="Times New Roman"/>
          <w:b/>
          <w:bCs/>
          <w:iCs/>
          <w:sz w:val="24"/>
          <w:szCs w:val="24"/>
        </w:rPr>
      </w:pPr>
      <w:r w:rsidRPr="00E2750D">
        <w:rPr>
          <w:rFonts w:cs="Times New Roman"/>
          <w:b/>
          <w:bCs/>
          <w:iCs/>
          <w:sz w:val="24"/>
          <w:szCs w:val="24"/>
        </w:rPr>
        <w:t>DISPONIBILIDAD DE AGUA PARA LA CLASIFICACIÓN DE CAPACIDAD DE USO</w:t>
      </w:r>
    </w:p>
    <w:p w14:paraId="39184C39" w14:textId="079CBB75" w:rsidR="000247A1" w:rsidRDefault="00926F22" w:rsidP="00392D3F">
      <w:pPr>
        <w:spacing w:before="0" w:after="0" w:line="240" w:lineRule="auto"/>
        <w:ind w:firstLine="567"/>
        <w:rPr>
          <w:rFonts w:cs="Times New Roman"/>
          <w:sz w:val="24"/>
          <w:szCs w:val="24"/>
        </w:rPr>
      </w:pPr>
      <w:r>
        <w:rPr>
          <w:rFonts w:cs="Times New Roman"/>
          <w:sz w:val="24"/>
          <w:szCs w:val="24"/>
        </w:rPr>
        <w:t>El criterio para clasificación de las tierras por capacidad de uso contemplaba tan solo los aspectos subjetivos basados en la distribución de las lluvias consignadas en la tabla 1 y sin el soporte cuantitativo de la oferta hídrica total en la zona. Al definir e incluir los rangos de variación se precisó que la disponibilidad de agua en la cuenca alta de la Quebrada Barbillas llega a ser suficiente durante los dos semestres, en un 17% de la microcuenca, lo que se explica por la humedad presente, la distribución de lluvias y la poca pérdida de agua por escorrentía en el suelo. En la parte media, 41% del área de la microcuenca se nota deficiencia para el segundo semestre y en la parte más baja de la microcuenca, un 35% del área, se constituyen suelos con deficiencia de humedad durante los dos semestres en el año. Esta situación, básicamente, se relaciona con la menor oferta de las lluvias y el aumento de la temperatura, así como con la constitución propia de sus suelos, que no favorece la retención de humedad en periodos largos si no hay aportes suficientes por lluvias (Figura 5).</w:t>
      </w:r>
    </w:p>
    <w:p w14:paraId="7430FB26" w14:textId="77777777" w:rsidR="000247A1" w:rsidRDefault="00926F22" w:rsidP="00392D3F">
      <w:pPr>
        <w:spacing w:before="0" w:after="0" w:line="240" w:lineRule="auto"/>
        <w:ind w:firstLine="567"/>
        <w:rPr>
          <w:rFonts w:cs="Times New Roman"/>
          <w:sz w:val="24"/>
          <w:szCs w:val="24"/>
        </w:rPr>
      </w:pPr>
      <w:r>
        <w:rPr>
          <w:rFonts w:cs="Times New Roman"/>
          <w:sz w:val="24"/>
          <w:szCs w:val="24"/>
        </w:rPr>
        <w:t xml:space="preserve">Dicha información pudo constatarse en campo mediante la identificación de especies de climas más secos y los regímenes de humedad del suelo identificados en los trabajos de campo durante la descripción morfológica de los perfiles de suelos. </w:t>
      </w:r>
    </w:p>
    <w:p w14:paraId="161FD5D8" w14:textId="544F75FA" w:rsidR="000247A1" w:rsidRDefault="00926F22" w:rsidP="00392D3F">
      <w:pPr>
        <w:spacing w:before="0" w:after="0" w:line="240" w:lineRule="auto"/>
        <w:ind w:firstLine="567"/>
        <w:rPr>
          <w:rFonts w:cs="Times New Roman"/>
          <w:sz w:val="24"/>
          <w:szCs w:val="24"/>
        </w:rPr>
      </w:pPr>
      <w:r>
        <w:rPr>
          <w:rFonts w:cs="Times New Roman"/>
          <w:sz w:val="24"/>
          <w:szCs w:val="24"/>
        </w:rPr>
        <w:t xml:space="preserve">La variación espacial de la humedad del suelo frente a un fenómeno </w:t>
      </w:r>
      <w:r w:rsidR="00E420C0">
        <w:rPr>
          <w:rFonts w:cs="Times New Roman"/>
          <w:sz w:val="24"/>
          <w:szCs w:val="24"/>
        </w:rPr>
        <w:t>climatológico</w:t>
      </w:r>
      <w:r>
        <w:rPr>
          <w:rFonts w:cs="Times New Roman"/>
          <w:sz w:val="24"/>
          <w:szCs w:val="24"/>
        </w:rPr>
        <w:t xml:space="preserve"> se analiz</w:t>
      </w:r>
      <w:r w:rsidR="00376AAE">
        <w:rPr>
          <w:rFonts w:cs="Times New Roman"/>
          <w:sz w:val="24"/>
          <w:szCs w:val="24"/>
        </w:rPr>
        <w:t>ó</w:t>
      </w:r>
      <w:r>
        <w:rPr>
          <w:rFonts w:cs="Times New Roman"/>
          <w:sz w:val="24"/>
          <w:szCs w:val="24"/>
        </w:rPr>
        <w:t xml:space="preserve"> a partir de la variabilidad de la capacidad de almacenamiento en el suelo y se constituye en una nueva forma de cuantificar y </w:t>
      </w:r>
      <w:r w:rsidR="00E420C0">
        <w:rPr>
          <w:rFonts w:cs="Times New Roman"/>
          <w:sz w:val="24"/>
          <w:szCs w:val="24"/>
        </w:rPr>
        <w:t>representar espacialmente</w:t>
      </w:r>
      <w:r>
        <w:rPr>
          <w:rFonts w:cs="Times New Roman"/>
          <w:sz w:val="24"/>
          <w:szCs w:val="24"/>
        </w:rPr>
        <w:t xml:space="preserve"> </w:t>
      </w:r>
      <w:r w:rsidR="00E420C0">
        <w:rPr>
          <w:rFonts w:cs="Times New Roman"/>
          <w:sz w:val="24"/>
          <w:szCs w:val="24"/>
        </w:rPr>
        <w:t>el</w:t>
      </w:r>
      <w:r>
        <w:rPr>
          <w:rFonts w:cs="Times New Roman"/>
          <w:sz w:val="24"/>
          <w:szCs w:val="24"/>
        </w:rPr>
        <w:t xml:space="preserve"> exceso o</w:t>
      </w:r>
      <w:r w:rsidR="00E420C0">
        <w:rPr>
          <w:rFonts w:cs="Times New Roman"/>
          <w:sz w:val="24"/>
          <w:szCs w:val="24"/>
        </w:rPr>
        <w:t xml:space="preserve"> el</w:t>
      </w:r>
      <w:r>
        <w:rPr>
          <w:rFonts w:cs="Times New Roman"/>
          <w:sz w:val="24"/>
          <w:szCs w:val="24"/>
        </w:rPr>
        <w:t xml:space="preserve"> déficit, siguiendo los criterios establecidos de superación del 25% y del 50% del almacenamiento de agua en el suelo. </w:t>
      </w:r>
    </w:p>
    <w:p w14:paraId="5E5B8ED1" w14:textId="77777777" w:rsidR="000247A1" w:rsidRDefault="00926F22" w:rsidP="00B13E1D">
      <w:pPr>
        <w:spacing w:before="0" w:line="240" w:lineRule="auto"/>
        <w:jc w:val="center"/>
        <w:rPr>
          <w:rFonts w:cs="Times New Roman"/>
          <w:sz w:val="24"/>
          <w:szCs w:val="24"/>
        </w:rPr>
      </w:pPr>
      <w:r>
        <w:rPr>
          <w:noProof/>
          <w:lang w:val="es-EC" w:eastAsia="es-EC"/>
        </w:rPr>
        <w:lastRenderedPageBreak/>
        <w:drawing>
          <wp:inline distT="0" distB="0" distL="0" distR="0" wp14:anchorId="171E2FF4" wp14:editId="148C3DE6">
            <wp:extent cx="3349487" cy="2156898"/>
            <wp:effectExtent l="0" t="0" r="3810" b="0"/>
            <wp:docPr id="7" name="image1.jpg" descr="F:\PROYECTO_CAM\MAPAS_2019\3. Disponibilidad de Agua en año 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jpg" descr="F:\PROYECTO_CAM\MAPAS_2019\3. Disponibilidad de Agua en año normal.jpg"/>
                    <pic:cNvPicPr>
                      <a:picLocks noChangeAspect="1" noChangeArrowheads="1"/>
                    </pic:cNvPicPr>
                  </pic:nvPicPr>
                  <pic:blipFill>
                    <a:blip r:embed="rId15"/>
                    <a:stretch>
                      <a:fillRect/>
                    </a:stretch>
                  </pic:blipFill>
                  <pic:spPr bwMode="auto">
                    <a:xfrm>
                      <a:off x="0" y="0"/>
                      <a:ext cx="3412461" cy="2197450"/>
                    </a:xfrm>
                    <a:prstGeom prst="rect">
                      <a:avLst/>
                    </a:prstGeom>
                  </pic:spPr>
                </pic:pic>
              </a:graphicData>
            </a:graphic>
          </wp:inline>
        </w:drawing>
      </w:r>
      <w:r>
        <w:rPr>
          <w:noProof/>
          <w:lang w:val="es-EC" w:eastAsia="es-EC"/>
        </w:rPr>
        <w:drawing>
          <wp:inline distT="0" distB="0" distL="0" distR="0" wp14:anchorId="4F74690A" wp14:editId="49A9A985">
            <wp:extent cx="2879725" cy="1986280"/>
            <wp:effectExtent l="0" t="0" r="0" b="0"/>
            <wp:docPr id="8" name="image2.jpg" descr="F:\PROYECTO_CAM\MAPAS_2019\4. Disponibilidad de Agua en año ni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g" descr="F:\PROYECTO_CAM\MAPAS_2019\4. Disponibilidad de Agua en año niña.jpg"/>
                    <pic:cNvPicPr>
                      <a:picLocks noChangeAspect="1" noChangeArrowheads="1"/>
                    </pic:cNvPicPr>
                  </pic:nvPicPr>
                  <pic:blipFill>
                    <a:blip r:embed="rId16"/>
                    <a:stretch>
                      <a:fillRect/>
                    </a:stretch>
                  </pic:blipFill>
                  <pic:spPr bwMode="auto">
                    <a:xfrm>
                      <a:off x="0" y="0"/>
                      <a:ext cx="2879725" cy="1986280"/>
                    </a:xfrm>
                    <a:prstGeom prst="rect">
                      <a:avLst/>
                    </a:prstGeom>
                  </pic:spPr>
                </pic:pic>
              </a:graphicData>
            </a:graphic>
          </wp:inline>
        </w:drawing>
      </w:r>
      <w:r>
        <w:rPr>
          <w:noProof/>
          <w:lang w:val="es-EC" w:eastAsia="es-EC"/>
        </w:rPr>
        <w:drawing>
          <wp:inline distT="0" distB="0" distL="0" distR="0" wp14:anchorId="3D3CE532" wp14:editId="6431899A">
            <wp:extent cx="2879725" cy="1986280"/>
            <wp:effectExtent l="0" t="0" r="0" b="0"/>
            <wp:docPr id="9" name="image12.jpg" descr="F:\PROYECTO_CAM\MAPAS_2019\5. Disponibilidad de Agua en año ni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jpg" descr="F:\PROYECTO_CAM\MAPAS_2019\5. Disponibilidad de Agua en año niño.jpg"/>
                    <pic:cNvPicPr>
                      <a:picLocks noChangeAspect="1" noChangeArrowheads="1"/>
                    </pic:cNvPicPr>
                  </pic:nvPicPr>
                  <pic:blipFill>
                    <a:blip r:embed="rId17"/>
                    <a:stretch>
                      <a:fillRect/>
                    </a:stretch>
                  </pic:blipFill>
                  <pic:spPr bwMode="auto">
                    <a:xfrm>
                      <a:off x="0" y="0"/>
                      <a:ext cx="2879725" cy="1986280"/>
                    </a:xfrm>
                    <a:prstGeom prst="rect">
                      <a:avLst/>
                    </a:prstGeom>
                  </pic:spPr>
                </pic:pic>
              </a:graphicData>
            </a:graphic>
          </wp:inline>
        </w:drawing>
      </w:r>
      <w:r>
        <w:rPr>
          <w:noProof/>
          <w:lang w:val="es-EC" w:eastAsia="es-EC"/>
        </w:rPr>
        <w:drawing>
          <wp:inline distT="0" distB="0" distL="0" distR="0" wp14:anchorId="5B78BC00" wp14:editId="41D12AC9">
            <wp:extent cx="4272280" cy="1042035"/>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
                    <pic:cNvPicPr>
                      <a:picLocks noChangeAspect="1" noChangeArrowheads="1"/>
                    </pic:cNvPicPr>
                  </pic:nvPicPr>
                  <pic:blipFill>
                    <a:blip r:embed="rId18"/>
                    <a:stretch>
                      <a:fillRect/>
                    </a:stretch>
                  </pic:blipFill>
                  <pic:spPr bwMode="auto">
                    <a:xfrm>
                      <a:off x="0" y="0"/>
                      <a:ext cx="4272280" cy="1042035"/>
                    </a:xfrm>
                    <a:prstGeom prst="rect">
                      <a:avLst/>
                    </a:prstGeom>
                  </pic:spPr>
                </pic:pic>
              </a:graphicData>
            </a:graphic>
          </wp:inline>
        </w:drawing>
      </w:r>
    </w:p>
    <w:p w14:paraId="7982CF79" w14:textId="0B1D5A99" w:rsidR="000247A1" w:rsidRPr="008E57F0" w:rsidRDefault="00926F22" w:rsidP="007B6A5D">
      <w:pPr>
        <w:spacing w:before="0" w:line="240" w:lineRule="auto"/>
        <w:ind w:left="993" w:hanging="993"/>
        <w:rPr>
          <w:rFonts w:cs="Times New Roman"/>
        </w:rPr>
      </w:pPr>
      <w:r w:rsidRPr="008E57F0">
        <w:rPr>
          <w:rFonts w:cs="Times New Roman"/>
        </w:rPr>
        <w:t xml:space="preserve">Figura 5. </w:t>
      </w:r>
      <w:r w:rsidR="007B6A5D">
        <w:rPr>
          <w:rFonts w:cs="Times New Roman"/>
        </w:rPr>
        <w:t xml:space="preserve"> </w:t>
      </w:r>
      <w:r w:rsidRPr="008E57F0">
        <w:rPr>
          <w:rFonts w:cs="Times New Roman"/>
        </w:rPr>
        <w:t>Disponibilidad de agua en el suelo en la Microcuenca de la</w:t>
      </w:r>
      <w:r w:rsidR="007B6A5D">
        <w:rPr>
          <w:rFonts w:cs="Times New Roman"/>
        </w:rPr>
        <w:t xml:space="preserve"> Quebrada Barbillas (Arriba año </w:t>
      </w:r>
      <w:r w:rsidRPr="008E57F0">
        <w:rPr>
          <w:rFonts w:cs="Times New Roman"/>
        </w:rPr>
        <w:t>normal, abajo</w:t>
      </w:r>
      <w:r w:rsidR="00E420C0" w:rsidRPr="008E57F0">
        <w:rPr>
          <w:rFonts w:cs="Times New Roman"/>
        </w:rPr>
        <w:t xml:space="preserve"> a la</w:t>
      </w:r>
      <w:r w:rsidRPr="008E57F0">
        <w:rPr>
          <w:rFonts w:cs="Times New Roman"/>
        </w:rPr>
        <w:t xml:space="preserve"> izq</w:t>
      </w:r>
      <w:r w:rsidR="00E420C0" w:rsidRPr="008E57F0">
        <w:rPr>
          <w:rFonts w:cs="Times New Roman"/>
        </w:rPr>
        <w:t>uierda</w:t>
      </w:r>
      <w:r w:rsidRPr="008E57F0">
        <w:rPr>
          <w:rFonts w:cs="Times New Roman"/>
        </w:rPr>
        <w:t xml:space="preserve"> año niña, abajo</w:t>
      </w:r>
      <w:r w:rsidR="00E420C0" w:rsidRPr="008E57F0">
        <w:rPr>
          <w:rFonts w:cs="Times New Roman"/>
        </w:rPr>
        <w:t xml:space="preserve"> a la</w:t>
      </w:r>
      <w:r w:rsidRPr="008E57F0">
        <w:rPr>
          <w:rFonts w:cs="Times New Roman"/>
        </w:rPr>
        <w:t xml:space="preserve"> der</w:t>
      </w:r>
      <w:r w:rsidR="00E420C0" w:rsidRPr="008E57F0">
        <w:rPr>
          <w:rFonts w:cs="Times New Roman"/>
        </w:rPr>
        <w:t>echa</w:t>
      </w:r>
      <w:r w:rsidRPr="008E57F0">
        <w:rPr>
          <w:rFonts w:cs="Times New Roman"/>
        </w:rPr>
        <w:t xml:space="preserve"> año niño)</w:t>
      </w:r>
    </w:p>
    <w:p w14:paraId="2A5AE4A3" w14:textId="77777777" w:rsidR="007B6A5D" w:rsidRDefault="007B6A5D" w:rsidP="007B6A5D">
      <w:pPr>
        <w:spacing w:before="0" w:after="0" w:line="240" w:lineRule="auto"/>
        <w:ind w:firstLine="567"/>
        <w:rPr>
          <w:rFonts w:cs="Times New Roman"/>
          <w:sz w:val="24"/>
          <w:szCs w:val="24"/>
        </w:rPr>
      </w:pPr>
    </w:p>
    <w:p w14:paraId="2A5E5636" w14:textId="6847AB73" w:rsidR="000247A1" w:rsidRDefault="00926F22" w:rsidP="007B6A5D">
      <w:pPr>
        <w:spacing w:before="0" w:after="0" w:line="240" w:lineRule="auto"/>
        <w:ind w:firstLine="567"/>
        <w:rPr>
          <w:rFonts w:cs="Times New Roman"/>
          <w:sz w:val="24"/>
          <w:szCs w:val="24"/>
        </w:rPr>
      </w:pPr>
      <w:r>
        <w:rPr>
          <w:rFonts w:cs="Times New Roman"/>
          <w:sz w:val="24"/>
          <w:szCs w:val="24"/>
        </w:rPr>
        <w:t xml:space="preserve">En lo que respecta al análisis de los escenarios climáticos en las fases La Niña y El Niño se encontró que, como se </w:t>
      </w:r>
      <w:r w:rsidR="00E420C0">
        <w:rPr>
          <w:rFonts w:cs="Times New Roman"/>
          <w:sz w:val="24"/>
          <w:szCs w:val="24"/>
        </w:rPr>
        <w:t>re</w:t>
      </w:r>
      <w:r>
        <w:rPr>
          <w:rFonts w:cs="Times New Roman"/>
          <w:sz w:val="24"/>
          <w:szCs w:val="24"/>
        </w:rPr>
        <w:t xml:space="preserve">presenta en la figura 5, para la fase El Niño aumenta el área en la que se presenta deficiencia de humedad como consecuencia de la disminución de las precipitaciones, pasando de 35% a 94% del área con deficiencias de humedad en ambos semestres, contrario a lo que sucede en la fase La Niña que muestra excesos de humedad en la parta alta de la cuenca cubriendo un 17% del área, y </w:t>
      </w:r>
      <w:r w:rsidR="00D05185">
        <w:rPr>
          <w:rFonts w:cs="Times New Roman"/>
          <w:sz w:val="24"/>
          <w:szCs w:val="24"/>
        </w:rPr>
        <w:t xml:space="preserve">con </w:t>
      </w:r>
      <w:r>
        <w:rPr>
          <w:rFonts w:cs="Times New Roman"/>
          <w:sz w:val="24"/>
          <w:szCs w:val="24"/>
        </w:rPr>
        <w:t>suficien</w:t>
      </w:r>
      <w:r w:rsidR="00D05185">
        <w:rPr>
          <w:rFonts w:cs="Times New Roman"/>
          <w:sz w:val="24"/>
          <w:szCs w:val="24"/>
        </w:rPr>
        <w:t>te agua</w:t>
      </w:r>
      <w:r>
        <w:rPr>
          <w:rFonts w:cs="Times New Roman"/>
          <w:sz w:val="24"/>
          <w:szCs w:val="24"/>
        </w:rPr>
        <w:t xml:space="preserve"> en el</w:t>
      </w:r>
      <w:r w:rsidR="00D05185">
        <w:rPr>
          <w:rFonts w:cs="Times New Roman"/>
          <w:sz w:val="24"/>
          <w:szCs w:val="24"/>
        </w:rPr>
        <w:t xml:space="preserve"> área</w:t>
      </w:r>
      <w:r>
        <w:rPr>
          <w:rFonts w:cs="Times New Roman"/>
          <w:sz w:val="24"/>
          <w:szCs w:val="24"/>
        </w:rPr>
        <w:t xml:space="preserve"> restante. </w:t>
      </w:r>
    </w:p>
    <w:p w14:paraId="1D385968" w14:textId="5B9D3ED5" w:rsidR="000247A1" w:rsidRDefault="00926F22" w:rsidP="007B6A5D">
      <w:pPr>
        <w:spacing w:before="0" w:after="0" w:line="240" w:lineRule="auto"/>
        <w:ind w:firstLine="567"/>
        <w:rPr>
          <w:rFonts w:cs="Times New Roman"/>
          <w:sz w:val="24"/>
          <w:szCs w:val="24"/>
        </w:rPr>
      </w:pPr>
      <w:r>
        <w:rPr>
          <w:rFonts w:cs="Times New Roman"/>
          <w:sz w:val="24"/>
          <w:szCs w:val="24"/>
        </w:rPr>
        <w:t xml:space="preserve">Por su parte, el número de días con excesos de humedad por encima del límite liquido del primer horizonte tomaría importante relevancia en aquellas áreas donde, por </w:t>
      </w:r>
      <w:r w:rsidR="00D05185">
        <w:rPr>
          <w:rFonts w:cs="Times New Roman"/>
          <w:sz w:val="24"/>
          <w:szCs w:val="24"/>
        </w:rPr>
        <w:t>la intervención humana</w:t>
      </w:r>
      <w:r>
        <w:rPr>
          <w:rFonts w:cs="Times New Roman"/>
          <w:sz w:val="24"/>
          <w:szCs w:val="24"/>
        </w:rPr>
        <w:t xml:space="preserve">, los suelos se hacen vulnerables a fenómenos de remoción en masa. Se observa, en la figura 6, que en un año normal estos excesos se presentan en la parte alta de la cuenca y por un rango entre 10 y 40 días en el año. Por otra parte, durante eventos del fenómeno de La Niña y como consecuencia del aumento de lluvias los excesos de humedad por encima al límite liquido podrían presentarse incluso hasta por 140 días durante el año, incrementando así las posibilidades de que en la microcuenca induzcan movimientos de remoción en masa. En contraste, bajo un evento </w:t>
      </w:r>
      <w:r w:rsidR="008D538F">
        <w:rPr>
          <w:rFonts w:cs="Times New Roman"/>
          <w:sz w:val="24"/>
          <w:szCs w:val="24"/>
        </w:rPr>
        <w:t>de</w:t>
      </w:r>
      <w:r>
        <w:rPr>
          <w:rFonts w:cs="Times New Roman"/>
          <w:sz w:val="24"/>
          <w:szCs w:val="24"/>
        </w:rPr>
        <w:t>l Niño las posibilidades</w:t>
      </w:r>
      <w:r w:rsidR="008D538F">
        <w:rPr>
          <w:rFonts w:cs="Times New Roman"/>
          <w:sz w:val="24"/>
          <w:szCs w:val="24"/>
        </w:rPr>
        <w:t xml:space="preserve"> de que se produzcan deslizamientos</w:t>
      </w:r>
      <w:r>
        <w:rPr>
          <w:rFonts w:cs="Times New Roman"/>
          <w:sz w:val="24"/>
          <w:szCs w:val="24"/>
        </w:rPr>
        <w:t xml:space="preserve"> disminuyen dado </w:t>
      </w:r>
      <w:r w:rsidR="008D538F">
        <w:rPr>
          <w:rFonts w:cs="Times New Roman"/>
          <w:sz w:val="24"/>
          <w:szCs w:val="24"/>
        </w:rPr>
        <w:t>que durante este periodo climático se presenta</w:t>
      </w:r>
      <w:r>
        <w:rPr>
          <w:rFonts w:cs="Times New Roman"/>
          <w:sz w:val="24"/>
          <w:szCs w:val="24"/>
        </w:rPr>
        <w:t xml:space="preserve"> déficit de humedad en </w:t>
      </w:r>
      <w:r w:rsidR="008D538F">
        <w:rPr>
          <w:rFonts w:cs="Times New Roman"/>
          <w:sz w:val="24"/>
          <w:szCs w:val="24"/>
        </w:rPr>
        <w:t xml:space="preserve">toda </w:t>
      </w:r>
      <w:r>
        <w:rPr>
          <w:rFonts w:cs="Times New Roman"/>
          <w:sz w:val="24"/>
          <w:szCs w:val="24"/>
        </w:rPr>
        <w:t xml:space="preserve">la </w:t>
      </w:r>
      <w:r w:rsidR="008D538F">
        <w:rPr>
          <w:rFonts w:cs="Times New Roman"/>
          <w:sz w:val="24"/>
          <w:szCs w:val="24"/>
        </w:rPr>
        <w:t>microcuenca de la quebrada B</w:t>
      </w:r>
      <w:r w:rsidR="006C17A1">
        <w:rPr>
          <w:rFonts w:cs="Times New Roman"/>
          <w:sz w:val="24"/>
          <w:szCs w:val="24"/>
        </w:rPr>
        <w:t>a</w:t>
      </w:r>
      <w:r w:rsidR="008D538F">
        <w:rPr>
          <w:rFonts w:cs="Times New Roman"/>
          <w:sz w:val="24"/>
          <w:szCs w:val="24"/>
        </w:rPr>
        <w:t>rbillas</w:t>
      </w:r>
      <w:r>
        <w:rPr>
          <w:rFonts w:cs="Times New Roman"/>
          <w:sz w:val="24"/>
          <w:szCs w:val="24"/>
        </w:rPr>
        <w:t>.</w:t>
      </w:r>
    </w:p>
    <w:p w14:paraId="4467AF37" w14:textId="77777777" w:rsidR="007B6A5D" w:rsidRDefault="00926F22" w:rsidP="00B13E1D">
      <w:pPr>
        <w:spacing w:before="0" w:after="0" w:line="240" w:lineRule="auto"/>
        <w:jc w:val="center"/>
        <w:rPr>
          <w:rFonts w:cs="Times New Roman"/>
          <w:sz w:val="24"/>
          <w:szCs w:val="24"/>
          <w:lang w:val="es-ES" w:eastAsia="es-ES"/>
        </w:rPr>
      </w:pPr>
      <w:r>
        <w:rPr>
          <w:noProof/>
          <w:lang w:val="es-EC" w:eastAsia="es-EC"/>
        </w:rPr>
        <w:lastRenderedPageBreak/>
        <w:drawing>
          <wp:inline distT="0" distB="0" distL="0" distR="0" wp14:anchorId="1063323F" wp14:editId="6590C569">
            <wp:extent cx="3262630" cy="22669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9"/>
                    <a:srcRect l="208" t="2059" b="821"/>
                    <a:stretch>
                      <a:fillRect/>
                    </a:stretch>
                  </pic:blipFill>
                  <pic:spPr bwMode="auto">
                    <a:xfrm>
                      <a:off x="0" y="0"/>
                      <a:ext cx="3298472" cy="2291854"/>
                    </a:xfrm>
                    <a:prstGeom prst="rect">
                      <a:avLst/>
                    </a:prstGeom>
                  </pic:spPr>
                </pic:pic>
              </a:graphicData>
            </a:graphic>
          </wp:inline>
        </w:drawing>
      </w:r>
      <w:r>
        <w:rPr>
          <w:rFonts w:cs="Times New Roman"/>
          <w:sz w:val="24"/>
          <w:szCs w:val="24"/>
          <w:lang w:val="es-ES" w:eastAsia="es-ES"/>
        </w:rPr>
        <w:t xml:space="preserve"> </w:t>
      </w:r>
    </w:p>
    <w:p w14:paraId="15CABA22" w14:textId="58B999E2" w:rsidR="000247A1" w:rsidRDefault="00926F22" w:rsidP="00B13E1D">
      <w:pPr>
        <w:spacing w:before="0" w:after="0" w:line="240" w:lineRule="auto"/>
        <w:jc w:val="center"/>
        <w:rPr>
          <w:rFonts w:cs="Times New Roman"/>
          <w:sz w:val="24"/>
          <w:szCs w:val="24"/>
          <w:lang w:val="es-ES" w:eastAsia="es-ES"/>
        </w:rPr>
      </w:pPr>
      <w:r>
        <w:rPr>
          <w:noProof/>
          <w:lang w:val="es-EC" w:eastAsia="es-EC"/>
        </w:rPr>
        <w:drawing>
          <wp:inline distT="0" distB="0" distL="0" distR="0" wp14:anchorId="22B49E2F" wp14:editId="4E2BF783">
            <wp:extent cx="2931795" cy="2057400"/>
            <wp:effectExtent l="0" t="0" r="1905" b="0"/>
            <wp:docPr id="12" name="Imagen3" descr="C:\Users\SONY\Desktop\CAM\SALIDAS_20191002\7. EXCESOS_NI+æ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3" descr="C:\Users\SONY\Desktop\CAM\SALIDAS_20191002\7. EXCESOS_NI+æA.jpg"/>
                    <pic:cNvPicPr>
                      <a:picLocks noChangeAspect="1" noChangeArrowheads="1"/>
                    </pic:cNvPicPr>
                  </pic:nvPicPr>
                  <pic:blipFill>
                    <a:blip r:embed="rId20"/>
                    <a:srcRect l="257" t="1881" b="124"/>
                    <a:stretch>
                      <a:fillRect/>
                    </a:stretch>
                  </pic:blipFill>
                  <pic:spPr bwMode="auto">
                    <a:xfrm>
                      <a:off x="0" y="0"/>
                      <a:ext cx="2931795" cy="2057400"/>
                    </a:xfrm>
                    <a:prstGeom prst="rect">
                      <a:avLst/>
                    </a:prstGeom>
                  </pic:spPr>
                </pic:pic>
              </a:graphicData>
            </a:graphic>
          </wp:inline>
        </w:drawing>
      </w:r>
      <w:r>
        <w:rPr>
          <w:rFonts w:cs="Times New Roman"/>
          <w:sz w:val="24"/>
          <w:szCs w:val="24"/>
          <w:lang w:val="es-ES" w:eastAsia="es-ES"/>
        </w:rPr>
        <w:t xml:space="preserve"> </w:t>
      </w:r>
      <w:r>
        <w:rPr>
          <w:noProof/>
          <w:lang w:val="es-EC" w:eastAsia="es-EC"/>
        </w:rPr>
        <w:drawing>
          <wp:inline distT="0" distB="0" distL="0" distR="0" wp14:anchorId="5D4520DF" wp14:editId="63BFA442">
            <wp:extent cx="2711450" cy="2038350"/>
            <wp:effectExtent l="0" t="0" r="0" b="0"/>
            <wp:docPr id="13" name="Imagen4" descr="C:\Users\SONY\Desktop\CAM\SALIDAS_20191002\8. EXCESOS_NI+æ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4" descr="C:\Users\SONY\Desktop\CAM\SALIDAS_20191002\8. EXCESOS_NI+æO.jpg"/>
                    <pic:cNvPicPr>
                      <a:picLocks noChangeAspect="1" noChangeArrowheads="1"/>
                    </pic:cNvPicPr>
                  </pic:nvPicPr>
                  <pic:blipFill>
                    <a:blip r:embed="rId21"/>
                    <a:srcRect l="472" t="3127" r="1405"/>
                    <a:stretch>
                      <a:fillRect/>
                    </a:stretch>
                  </pic:blipFill>
                  <pic:spPr bwMode="auto">
                    <a:xfrm>
                      <a:off x="0" y="0"/>
                      <a:ext cx="2726813" cy="2049899"/>
                    </a:xfrm>
                    <a:prstGeom prst="rect">
                      <a:avLst/>
                    </a:prstGeom>
                  </pic:spPr>
                </pic:pic>
              </a:graphicData>
            </a:graphic>
          </wp:inline>
        </w:drawing>
      </w:r>
      <w:r>
        <w:rPr>
          <w:rFonts w:cs="Times New Roman"/>
          <w:sz w:val="24"/>
          <w:szCs w:val="24"/>
          <w:lang w:val="es-ES" w:eastAsia="es-ES"/>
        </w:rPr>
        <w:t xml:space="preserve"> </w:t>
      </w:r>
    </w:p>
    <w:p w14:paraId="1C5278FE" w14:textId="77777777" w:rsidR="007B6A5D" w:rsidRDefault="007B6A5D" w:rsidP="00B13E1D">
      <w:pPr>
        <w:spacing w:before="0" w:after="0" w:line="240" w:lineRule="auto"/>
        <w:jc w:val="center"/>
        <w:rPr>
          <w:rFonts w:cs="Times New Roman"/>
          <w:sz w:val="24"/>
          <w:szCs w:val="24"/>
          <w:lang w:val="es-ES" w:eastAsia="es-ES"/>
        </w:rPr>
      </w:pPr>
    </w:p>
    <w:p w14:paraId="1D5379EE" w14:textId="77777777" w:rsidR="000247A1" w:rsidRDefault="00926F22" w:rsidP="00B13E1D">
      <w:pPr>
        <w:spacing w:before="0" w:after="0" w:line="240" w:lineRule="auto"/>
        <w:jc w:val="center"/>
        <w:rPr>
          <w:rFonts w:cs="Times New Roman"/>
          <w:sz w:val="24"/>
          <w:szCs w:val="24"/>
        </w:rPr>
      </w:pPr>
      <w:r>
        <w:rPr>
          <w:noProof/>
          <w:lang w:val="es-EC" w:eastAsia="es-EC"/>
        </w:rPr>
        <w:drawing>
          <wp:inline distT="0" distB="0" distL="0" distR="0" wp14:anchorId="7F5035F7" wp14:editId="3D6FAF9C">
            <wp:extent cx="1524000" cy="79756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22"/>
                    <a:stretch>
                      <a:fillRect/>
                    </a:stretch>
                  </pic:blipFill>
                  <pic:spPr bwMode="auto">
                    <a:xfrm>
                      <a:off x="0" y="0"/>
                      <a:ext cx="1524000" cy="797560"/>
                    </a:xfrm>
                    <a:prstGeom prst="rect">
                      <a:avLst/>
                    </a:prstGeom>
                  </pic:spPr>
                </pic:pic>
              </a:graphicData>
            </a:graphic>
          </wp:inline>
        </w:drawing>
      </w:r>
    </w:p>
    <w:p w14:paraId="63516930" w14:textId="77777777" w:rsidR="007B6A5D" w:rsidRDefault="007B6A5D" w:rsidP="00B13E1D">
      <w:pPr>
        <w:spacing w:before="0" w:line="240" w:lineRule="auto"/>
        <w:jc w:val="center"/>
        <w:rPr>
          <w:rFonts w:cs="Times New Roman"/>
        </w:rPr>
      </w:pPr>
    </w:p>
    <w:p w14:paraId="26794F31" w14:textId="77777777" w:rsidR="000247A1" w:rsidRPr="008E57F0" w:rsidRDefault="00926F22" w:rsidP="00B13E1D">
      <w:pPr>
        <w:spacing w:before="0" w:line="240" w:lineRule="auto"/>
        <w:jc w:val="center"/>
        <w:rPr>
          <w:rFonts w:cs="Times New Roman"/>
        </w:rPr>
      </w:pPr>
      <w:r w:rsidRPr="008E57F0">
        <w:rPr>
          <w:rFonts w:cs="Times New Roman"/>
        </w:rPr>
        <w:t>Figura 6. Distribución espacial de la cantidad de días con excesos de humedad por encima del límite líquido (Arriba año normal, abajo izq. año niña, abajo der. año niño)</w:t>
      </w:r>
    </w:p>
    <w:p w14:paraId="7C020FBD" w14:textId="77777777" w:rsidR="007B6A5D" w:rsidRDefault="007B6A5D" w:rsidP="00B13E1D">
      <w:pPr>
        <w:spacing w:before="0" w:after="0" w:line="240" w:lineRule="auto"/>
        <w:rPr>
          <w:rFonts w:cs="Times New Roman"/>
          <w:sz w:val="24"/>
          <w:szCs w:val="24"/>
        </w:rPr>
      </w:pPr>
    </w:p>
    <w:p w14:paraId="16DFD954" w14:textId="0EB6386A" w:rsidR="000247A1" w:rsidRDefault="00926F22" w:rsidP="007B6A5D">
      <w:pPr>
        <w:spacing w:before="0" w:after="0" w:line="240" w:lineRule="auto"/>
        <w:ind w:firstLine="567"/>
        <w:rPr>
          <w:rFonts w:cs="Times New Roman"/>
          <w:sz w:val="24"/>
          <w:szCs w:val="24"/>
        </w:rPr>
      </w:pPr>
      <w:r>
        <w:rPr>
          <w:rFonts w:cs="Times New Roman"/>
          <w:sz w:val="24"/>
          <w:szCs w:val="24"/>
        </w:rPr>
        <w:t xml:space="preserve">Mediante la cuantificación de capacidad de almacenamiento de agua en el suelo y la oferta hídrica total, se encontró que en los sectores más bajos de la microcuenca </w:t>
      </w:r>
      <w:r w:rsidR="006722E2">
        <w:rPr>
          <w:rFonts w:cs="Times New Roman"/>
          <w:sz w:val="24"/>
          <w:szCs w:val="24"/>
        </w:rPr>
        <w:t>la clasificación de los suelos cambio</w:t>
      </w:r>
      <w:r>
        <w:rPr>
          <w:rFonts w:cs="Times New Roman"/>
          <w:sz w:val="24"/>
          <w:szCs w:val="24"/>
        </w:rPr>
        <w:t xml:space="preserve"> de clases 3 y 4, según la metodología convencional a una clase 5, cuya limitante principal es el clima</w:t>
      </w:r>
      <w:r w:rsidR="004C2DA6">
        <w:rPr>
          <w:rFonts w:cs="Times New Roman"/>
          <w:sz w:val="24"/>
          <w:szCs w:val="24"/>
        </w:rPr>
        <w:t xml:space="preserve"> y </w:t>
      </w:r>
      <w:r>
        <w:rPr>
          <w:rFonts w:cs="Times New Roman"/>
          <w:sz w:val="24"/>
          <w:szCs w:val="24"/>
        </w:rPr>
        <w:t>en particular</w:t>
      </w:r>
      <w:r w:rsidR="004C2DA6">
        <w:rPr>
          <w:rFonts w:cs="Times New Roman"/>
          <w:sz w:val="24"/>
          <w:szCs w:val="24"/>
        </w:rPr>
        <w:t xml:space="preserve"> el nuevo procedimiento</w:t>
      </w:r>
      <w:r>
        <w:rPr>
          <w:rFonts w:cs="Times New Roman"/>
          <w:sz w:val="24"/>
          <w:szCs w:val="24"/>
        </w:rPr>
        <w:t xml:space="preserve"> </w:t>
      </w:r>
      <w:r w:rsidR="004C2DA6">
        <w:rPr>
          <w:rFonts w:cs="Times New Roman"/>
          <w:sz w:val="24"/>
          <w:szCs w:val="24"/>
        </w:rPr>
        <w:t xml:space="preserve">puso al descubierto </w:t>
      </w:r>
      <w:r>
        <w:rPr>
          <w:rFonts w:cs="Times New Roman"/>
          <w:sz w:val="24"/>
          <w:szCs w:val="24"/>
        </w:rPr>
        <w:t>la</w:t>
      </w:r>
      <w:r w:rsidR="004C2DA6">
        <w:rPr>
          <w:rFonts w:cs="Times New Roman"/>
          <w:sz w:val="24"/>
          <w:szCs w:val="24"/>
        </w:rPr>
        <w:t xml:space="preserve"> baja</w:t>
      </w:r>
      <w:r>
        <w:rPr>
          <w:rFonts w:cs="Times New Roman"/>
          <w:sz w:val="24"/>
          <w:szCs w:val="24"/>
        </w:rPr>
        <w:t xml:space="preserve"> disponibilidad de agua a través del tiempo. Esta situación manifiesta un déficit de agua que debe considerarse durante la planeación de usos agrícolas en este sector de la microcuenca.</w:t>
      </w:r>
    </w:p>
    <w:p w14:paraId="7F9EE48A" w14:textId="424B55C1" w:rsidR="004C2DA6" w:rsidRDefault="004C2DA6" w:rsidP="007B6A5D">
      <w:pPr>
        <w:spacing w:before="0" w:after="0" w:line="240" w:lineRule="auto"/>
        <w:ind w:firstLine="567"/>
        <w:rPr>
          <w:rFonts w:cs="Times New Roman"/>
          <w:sz w:val="24"/>
          <w:szCs w:val="24"/>
        </w:rPr>
      </w:pPr>
      <w:r>
        <w:rPr>
          <w:rFonts w:cs="Times New Roman"/>
          <w:sz w:val="24"/>
          <w:szCs w:val="24"/>
        </w:rPr>
        <w:t xml:space="preserve">En términos de valor catastral las tierras del sector bajo de la microcuenca deberían tener menor valor potencial y los precios de la tierra serían más bajos en este caso la clase agrologica permitiría mejorar el procedimiento catastral y es especial la forma de obtener el valor por disponibilidad de aguas superficiales y consecuentemente almacenada en el suelo. </w:t>
      </w:r>
    </w:p>
    <w:p w14:paraId="24A12CC8" w14:textId="77777777" w:rsidR="000247A1" w:rsidRDefault="00926F22" w:rsidP="00B13E1D">
      <w:pPr>
        <w:spacing w:before="0" w:after="0" w:line="240" w:lineRule="auto"/>
        <w:jc w:val="center"/>
        <w:rPr>
          <w:rFonts w:cs="Times New Roman"/>
          <w:sz w:val="24"/>
          <w:szCs w:val="24"/>
        </w:rPr>
      </w:pPr>
      <w:r>
        <w:rPr>
          <w:noProof/>
          <w:lang w:val="es-EC" w:eastAsia="es-EC"/>
        </w:rPr>
        <w:lastRenderedPageBreak/>
        <w:drawing>
          <wp:inline distT="0" distB="0" distL="0" distR="0" wp14:anchorId="1EDD2E1C" wp14:editId="7419F31F">
            <wp:extent cx="2879725" cy="2076450"/>
            <wp:effectExtent l="0" t="0" r="0" b="0"/>
            <wp:docPr id="15" name="Imagen 4" descr="C:\Users\SONY\Desktop\CAM\10. CAPACIDAD DE USO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4" descr="C:\Users\SONY\Desktop\CAM\10. CAPACIDAD DE USO_2019.jpg"/>
                    <pic:cNvPicPr>
                      <a:picLocks noChangeAspect="1" noChangeArrowheads="1"/>
                    </pic:cNvPicPr>
                  </pic:nvPicPr>
                  <pic:blipFill>
                    <a:blip r:embed="rId23"/>
                    <a:stretch>
                      <a:fillRect/>
                    </a:stretch>
                  </pic:blipFill>
                  <pic:spPr bwMode="auto">
                    <a:xfrm>
                      <a:off x="0" y="0"/>
                      <a:ext cx="2879725" cy="2076450"/>
                    </a:xfrm>
                    <a:prstGeom prst="rect">
                      <a:avLst/>
                    </a:prstGeom>
                  </pic:spPr>
                </pic:pic>
              </a:graphicData>
            </a:graphic>
          </wp:inline>
        </w:drawing>
      </w:r>
      <w:r>
        <w:rPr>
          <w:noProof/>
          <w:lang w:val="es-EC" w:eastAsia="es-EC"/>
        </w:rPr>
        <w:drawing>
          <wp:inline distT="0" distB="0" distL="0" distR="0" wp14:anchorId="4F0AB141" wp14:editId="63D70C83">
            <wp:extent cx="2879725" cy="2085975"/>
            <wp:effectExtent l="0" t="0" r="0" b="9525"/>
            <wp:docPr id="16" name="Imagen 5" descr="C:\Users\SONY\Desktop\CAM\9. CAPACIDAD DE USO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5" descr="C:\Users\SONY\Desktop\CAM\9. CAPACIDAD DE USO_2018.jpg"/>
                    <pic:cNvPicPr>
                      <a:picLocks noChangeAspect="1" noChangeArrowheads="1"/>
                    </pic:cNvPicPr>
                  </pic:nvPicPr>
                  <pic:blipFill>
                    <a:blip r:embed="rId24"/>
                    <a:stretch>
                      <a:fillRect/>
                    </a:stretch>
                  </pic:blipFill>
                  <pic:spPr bwMode="auto">
                    <a:xfrm>
                      <a:off x="0" y="0"/>
                      <a:ext cx="2879725" cy="2085975"/>
                    </a:xfrm>
                    <a:prstGeom prst="rect">
                      <a:avLst/>
                    </a:prstGeom>
                  </pic:spPr>
                </pic:pic>
              </a:graphicData>
            </a:graphic>
          </wp:inline>
        </w:drawing>
      </w:r>
    </w:p>
    <w:p w14:paraId="481867ED" w14:textId="77777777" w:rsidR="007B6A5D" w:rsidRDefault="007B6A5D" w:rsidP="00B13E1D">
      <w:pPr>
        <w:spacing w:before="0" w:after="0" w:line="240" w:lineRule="auto"/>
        <w:jc w:val="center"/>
        <w:rPr>
          <w:rFonts w:cs="Times New Roman"/>
          <w:sz w:val="24"/>
          <w:szCs w:val="24"/>
        </w:rPr>
      </w:pPr>
    </w:p>
    <w:p w14:paraId="563FB026" w14:textId="77777777" w:rsidR="000247A1" w:rsidRDefault="00926F22" w:rsidP="00B13E1D">
      <w:pPr>
        <w:spacing w:before="0" w:after="0" w:line="240" w:lineRule="auto"/>
        <w:jc w:val="center"/>
        <w:rPr>
          <w:rFonts w:cs="Times New Roman"/>
          <w:sz w:val="24"/>
          <w:szCs w:val="24"/>
        </w:rPr>
      </w:pPr>
      <w:r>
        <w:rPr>
          <w:noProof/>
          <w:lang w:val="es-EC" w:eastAsia="es-EC"/>
        </w:rPr>
        <w:drawing>
          <wp:inline distT="0" distB="0" distL="0" distR="0" wp14:anchorId="51D190AA" wp14:editId="6FA79A61">
            <wp:extent cx="2830195" cy="685800"/>
            <wp:effectExtent l="0" t="0" r="0"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6"/>
                    <pic:cNvPicPr>
                      <a:picLocks noChangeAspect="1" noChangeArrowheads="1"/>
                    </pic:cNvPicPr>
                  </pic:nvPicPr>
                  <pic:blipFill>
                    <a:blip r:embed="rId25"/>
                    <a:stretch>
                      <a:fillRect/>
                    </a:stretch>
                  </pic:blipFill>
                  <pic:spPr bwMode="auto">
                    <a:xfrm>
                      <a:off x="0" y="0"/>
                      <a:ext cx="2830195" cy="685800"/>
                    </a:xfrm>
                    <a:prstGeom prst="rect">
                      <a:avLst/>
                    </a:prstGeom>
                  </pic:spPr>
                </pic:pic>
              </a:graphicData>
            </a:graphic>
          </wp:inline>
        </w:drawing>
      </w:r>
    </w:p>
    <w:p w14:paraId="6455842F" w14:textId="77777777" w:rsidR="000247A1" w:rsidRPr="008E57F0" w:rsidRDefault="00926F22" w:rsidP="007B6A5D">
      <w:pPr>
        <w:spacing w:before="0" w:after="0" w:line="240" w:lineRule="auto"/>
        <w:ind w:left="993" w:hanging="993"/>
        <w:rPr>
          <w:rFonts w:cs="Times New Roman"/>
        </w:rPr>
      </w:pPr>
      <w:r w:rsidRPr="008E57F0">
        <w:rPr>
          <w:rFonts w:cs="Times New Roman"/>
        </w:rPr>
        <w:t xml:space="preserve">Figura 7. Distribución espacial de las clases de capacidad de uso de las tierras (Der, método convencional; </w:t>
      </w:r>
      <w:proofErr w:type="spellStart"/>
      <w:r w:rsidRPr="008E57F0">
        <w:rPr>
          <w:rFonts w:cs="Times New Roman"/>
        </w:rPr>
        <w:t>Izq</w:t>
      </w:r>
      <w:proofErr w:type="spellEnd"/>
      <w:r w:rsidRPr="008E57F0">
        <w:rPr>
          <w:rFonts w:cs="Times New Roman"/>
        </w:rPr>
        <w:t>, incorporando CA y balances hídricos)</w:t>
      </w:r>
    </w:p>
    <w:p w14:paraId="3FBCEBDF" w14:textId="77777777" w:rsidR="000247A1" w:rsidRDefault="00926F22" w:rsidP="007B6A5D">
      <w:pPr>
        <w:spacing w:line="240" w:lineRule="auto"/>
        <w:ind w:firstLine="567"/>
        <w:rPr>
          <w:rFonts w:cs="Times New Roman"/>
          <w:sz w:val="24"/>
          <w:szCs w:val="24"/>
        </w:rPr>
      </w:pPr>
      <w:r>
        <w:rPr>
          <w:rFonts w:cs="Times New Roman"/>
          <w:sz w:val="24"/>
          <w:szCs w:val="24"/>
        </w:rPr>
        <w:t xml:space="preserve">En resumen la medida de la capacidad de almacenamiento de agua en el suelo es indispensable para generar datos relacionados con la disponibilidad de agua para los cultivos. Es, además, un avance significativo asociado a la escala detallada, y se considera un aporte para definir la capacidad de uso de las tierras y disminuir posibles impactos en los ecosistemas, especialmente en la disminución del caudal base de la quebrada Barbillas. </w:t>
      </w:r>
    </w:p>
    <w:p w14:paraId="4DB199F6" w14:textId="3093A83E" w:rsidR="000247A1" w:rsidRPr="00623A8A" w:rsidRDefault="00623A8A" w:rsidP="00B13E1D">
      <w:pPr>
        <w:spacing w:line="240" w:lineRule="auto"/>
        <w:rPr>
          <w:rFonts w:cs="Times New Roman"/>
          <w:b/>
          <w:sz w:val="24"/>
          <w:szCs w:val="24"/>
        </w:rPr>
      </w:pPr>
      <w:r w:rsidRPr="00623A8A">
        <w:rPr>
          <w:rFonts w:cs="Times New Roman"/>
          <w:b/>
          <w:sz w:val="24"/>
          <w:szCs w:val="24"/>
        </w:rPr>
        <w:t>CONCLUSIONES</w:t>
      </w:r>
    </w:p>
    <w:p w14:paraId="58DCE560" w14:textId="77777777" w:rsidR="008506BC" w:rsidRDefault="00926F22" w:rsidP="007B6A5D">
      <w:pPr>
        <w:spacing w:before="0" w:after="0" w:line="240" w:lineRule="auto"/>
        <w:ind w:firstLine="567"/>
        <w:rPr>
          <w:rFonts w:cs="Times New Roman"/>
          <w:sz w:val="24"/>
          <w:szCs w:val="24"/>
        </w:rPr>
      </w:pPr>
      <w:r>
        <w:rPr>
          <w:rFonts w:cs="Times New Roman"/>
          <w:sz w:val="24"/>
          <w:szCs w:val="24"/>
        </w:rPr>
        <w:t xml:space="preserve">Durante el levantamiento detallado de suelos </w:t>
      </w:r>
      <w:r w:rsidR="00376AAE">
        <w:rPr>
          <w:rFonts w:cs="Times New Roman"/>
          <w:sz w:val="24"/>
          <w:szCs w:val="24"/>
        </w:rPr>
        <w:t xml:space="preserve">en la microcuenca </w:t>
      </w:r>
      <w:r>
        <w:rPr>
          <w:rFonts w:cs="Times New Roman"/>
          <w:sz w:val="24"/>
          <w:szCs w:val="24"/>
        </w:rPr>
        <w:t xml:space="preserve">de la quebrada Barbillas se </w:t>
      </w:r>
      <w:r w:rsidR="00F16ABF">
        <w:rPr>
          <w:rFonts w:cs="Times New Roman"/>
          <w:sz w:val="24"/>
          <w:szCs w:val="24"/>
        </w:rPr>
        <w:t>realiz</w:t>
      </w:r>
      <w:r w:rsidR="00376AAE">
        <w:rPr>
          <w:rFonts w:cs="Times New Roman"/>
          <w:sz w:val="24"/>
          <w:szCs w:val="24"/>
        </w:rPr>
        <w:t>aron</w:t>
      </w:r>
      <w:r>
        <w:rPr>
          <w:rFonts w:cs="Times New Roman"/>
          <w:sz w:val="24"/>
          <w:szCs w:val="24"/>
        </w:rPr>
        <w:t xml:space="preserve"> innovaci</w:t>
      </w:r>
      <w:r w:rsidR="00376AAE">
        <w:rPr>
          <w:rFonts w:cs="Times New Roman"/>
          <w:sz w:val="24"/>
          <w:szCs w:val="24"/>
        </w:rPr>
        <w:t>ones</w:t>
      </w:r>
      <w:r>
        <w:rPr>
          <w:rFonts w:cs="Times New Roman"/>
          <w:sz w:val="24"/>
          <w:szCs w:val="24"/>
        </w:rPr>
        <w:t xml:space="preserve"> </w:t>
      </w:r>
      <w:r w:rsidR="00F16ABF">
        <w:rPr>
          <w:rFonts w:cs="Times New Roman"/>
          <w:sz w:val="24"/>
          <w:szCs w:val="24"/>
        </w:rPr>
        <w:t xml:space="preserve">en </w:t>
      </w:r>
      <w:r>
        <w:rPr>
          <w:rFonts w:cs="Times New Roman"/>
          <w:sz w:val="24"/>
          <w:szCs w:val="24"/>
        </w:rPr>
        <w:t xml:space="preserve">dos aspectos que contribuyen </w:t>
      </w:r>
      <w:r w:rsidR="00F16ABF">
        <w:rPr>
          <w:rFonts w:cs="Times New Roman"/>
          <w:sz w:val="24"/>
          <w:szCs w:val="24"/>
        </w:rPr>
        <w:t>a</w:t>
      </w:r>
      <w:r>
        <w:rPr>
          <w:rFonts w:cs="Times New Roman"/>
          <w:sz w:val="24"/>
          <w:szCs w:val="24"/>
        </w:rPr>
        <w:t xml:space="preserve"> la de</w:t>
      </w:r>
      <w:r w:rsidR="00376AAE">
        <w:rPr>
          <w:rFonts w:cs="Times New Roman"/>
          <w:sz w:val="24"/>
          <w:szCs w:val="24"/>
        </w:rPr>
        <w:t>finición</w:t>
      </w:r>
      <w:r>
        <w:rPr>
          <w:rFonts w:cs="Times New Roman"/>
          <w:sz w:val="24"/>
          <w:szCs w:val="24"/>
        </w:rPr>
        <w:t xml:space="preserve"> de la capacidad de uso de las tierras</w:t>
      </w:r>
      <w:r w:rsidR="00F16ABF">
        <w:rPr>
          <w:rFonts w:cs="Times New Roman"/>
          <w:sz w:val="24"/>
          <w:szCs w:val="24"/>
        </w:rPr>
        <w:t xml:space="preserve"> </w:t>
      </w:r>
      <w:r>
        <w:rPr>
          <w:rFonts w:cs="Times New Roman"/>
          <w:sz w:val="24"/>
          <w:szCs w:val="24"/>
        </w:rPr>
        <w:t>y</w:t>
      </w:r>
      <w:r w:rsidR="00F16ABF">
        <w:rPr>
          <w:rFonts w:cs="Times New Roman"/>
          <w:sz w:val="24"/>
          <w:szCs w:val="24"/>
        </w:rPr>
        <w:t xml:space="preserve"> a la </w:t>
      </w:r>
      <w:r w:rsidR="00376AAE">
        <w:rPr>
          <w:rFonts w:cs="Times New Roman"/>
          <w:sz w:val="24"/>
          <w:szCs w:val="24"/>
        </w:rPr>
        <w:t>necesidad de incluir</w:t>
      </w:r>
      <w:r w:rsidR="008506BC">
        <w:rPr>
          <w:rFonts w:cs="Times New Roman"/>
          <w:sz w:val="24"/>
          <w:szCs w:val="24"/>
        </w:rPr>
        <w:t xml:space="preserve"> las</w:t>
      </w:r>
      <w:r>
        <w:rPr>
          <w:rFonts w:cs="Times New Roman"/>
          <w:sz w:val="24"/>
          <w:szCs w:val="24"/>
        </w:rPr>
        <w:t xml:space="preserve"> prácticas de manejo</w:t>
      </w:r>
      <w:r w:rsidR="00F16ABF">
        <w:rPr>
          <w:rFonts w:cs="Times New Roman"/>
          <w:sz w:val="24"/>
          <w:szCs w:val="24"/>
        </w:rPr>
        <w:t xml:space="preserve"> ambiental</w:t>
      </w:r>
      <w:r w:rsidR="008506BC">
        <w:rPr>
          <w:rFonts w:cs="Times New Roman"/>
          <w:sz w:val="24"/>
          <w:szCs w:val="24"/>
        </w:rPr>
        <w:t xml:space="preserve"> en las recomendaciones</w:t>
      </w:r>
      <w:r>
        <w:rPr>
          <w:rFonts w:cs="Times New Roman"/>
          <w:sz w:val="24"/>
          <w:szCs w:val="24"/>
        </w:rPr>
        <w:t>;</w:t>
      </w:r>
      <w:r w:rsidR="008506BC">
        <w:rPr>
          <w:rFonts w:cs="Times New Roman"/>
          <w:sz w:val="24"/>
          <w:szCs w:val="24"/>
        </w:rPr>
        <w:t xml:space="preserve"> la innovación principal fue la inclusión del método numérico (enfoque cuantitativo) en la variable disponibilidad de agua para los cultivos y la segunda una nueva forma de análisis de la susceptibilidad a la degradación de las tierras en la tipología de amenaza a los deslizamientos de tierras, que en los estudios generales de suelos se determinaban de manera subjetiva. </w:t>
      </w:r>
    </w:p>
    <w:p w14:paraId="219D8B79" w14:textId="243CB90F" w:rsidR="000247A1" w:rsidRDefault="008506BC" w:rsidP="007F4FE3">
      <w:pPr>
        <w:spacing w:before="0" w:after="0" w:line="240" w:lineRule="auto"/>
        <w:ind w:firstLine="567"/>
        <w:rPr>
          <w:rFonts w:cs="Times New Roman"/>
          <w:sz w:val="24"/>
          <w:szCs w:val="24"/>
        </w:rPr>
      </w:pPr>
      <w:r>
        <w:rPr>
          <w:rFonts w:cs="Times New Roman"/>
          <w:sz w:val="24"/>
          <w:szCs w:val="24"/>
        </w:rPr>
        <w:t xml:space="preserve">La incorporación de la información de </w:t>
      </w:r>
      <w:proofErr w:type="spellStart"/>
      <w:r>
        <w:rPr>
          <w:rFonts w:cs="Times New Roman"/>
          <w:sz w:val="24"/>
          <w:szCs w:val="24"/>
        </w:rPr>
        <w:t>morfometría</w:t>
      </w:r>
      <w:proofErr w:type="spellEnd"/>
      <w:r w:rsidR="00926F22">
        <w:rPr>
          <w:rFonts w:cs="Times New Roman"/>
          <w:sz w:val="24"/>
          <w:szCs w:val="24"/>
        </w:rPr>
        <w:t xml:space="preserve"> </w:t>
      </w:r>
      <w:r>
        <w:rPr>
          <w:rFonts w:cs="Times New Roman"/>
          <w:sz w:val="24"/>
          <w:szCs w:val="24"/>
        </w:rPr>
        <w:t>de los sistemas hídricos aportó un mejoramiento escalar para precisar la clasificación por capacidad de uso y generó nuevos elementos para incluirlos en la interpretación, esto le permitió la realización de ajustes espaciales a la escorrentía de agua superficial con la introducción del concepto de eficiencia hidráulica que posibilitó el ajuste espacial de los datos hidrológicos</w:t>
      </w:r>
      <w:r w:rsidR="007F4FE3">
        <w:rPr>
          <w:rFonts w:cs="Times New Roman"/>
          <w:sz w:val="24"/>
          <w:szCs w:val="24"/>
        </w:rPr>
        <w:t xml:space="preserve"> reportados por el Instituto de Hidrología, Meteorología y Estudios Ambientales IDEAM.</w:t>
      </w:r>
      <w:r>
        <w:rPr>
          <w:rFonts w:cs="Times New Roman"/>
          <w:sz w:val="24"/>
          <w:szCs w:val="24"/>
        </w:rPr>
        <w:t xml:space="preserve">  </w:t>
      </w:r>
    </w:p>
    <w:p w14:paraId="33FC6418" w14:textId="1C1C7E5B" w:rsidR="000247A1" w:rsidRDefault="00926F22" w:rsidP="007B6A5D">
      <w:pPr>
        <w:spacing w:before="0" w:after="0" w:line="240" w:lineRule="auto"/>
        <w:ind w:firstLine="567"/>
        <w:rPr>
          <w:rFonts w:cs="Times New Roman"/>
          <w:sz w:val="24"/>
          <w:szCs w:val="24"/>
        </w:rPr>
      </w:pPr>
      <w:r>
        <w:rPr>
          <w:rFonts w:cs="Times New Roman"/>
          <w:sz w:val="24"/>
          <w:szCs w:val="24"/>
        </w:rPr>
        <w:t>Se encontró una correspondencia entre las tierras que contienen la mayor capacidad de almacenamiento de agua en el suelo</w:t>
      </w:r>
      <w:r w:rsidR="00F16ABF">
        <w:rPr>
          <w:rFonts w:cs="Times New Roman"/>
          <w:sz w:val="24"/>
          <w:szCs w:val="24"/>
        </w:rPr>
        <w:t xml:space="preserve"> y</w:t>
      </w:r>
      <w:r>
        <w:rPr>
          <w:rFonts w:cs="Times New Roman"/>
          <w:sz w:val="24"/>
          <w:szCs w:val="24"/>
        </w:rPr>
        <w:t xml:space="preserve"> la presencia de deslizamientos visibles en el paisaje de montaña</w:t>
      </w:r>
      <w:r w:rsidR="00F16ABF">
        <w:rPr>
          <w:rFonts w:cs="Times New Roman"/>
          <w:sz w:val="24"/>
          <w:szCs w:val="24"/>
        </w:rPr>
        <w:t>,</w:t>
      </w:r>
      <w:r>
        <w:rPr>
          <w:rFonts w:cs="Times New Roman"/>
          <w:sz w:val="24"/>
          <w:szCs w:val="24"/>
        </w:rPr>
        <w:t xml:space="preserve"> la presencia de cicatrices de despegue en la parte alta de la microcuenca de la quebrada Barbillas</w:t>
      </w:r>
      <w:r w:rsidR="00F16ABF">
        <w:rPr>
          <w:rFonts w:cs="Times New Roman"/>
          <w:sz w:val="24"/>
          <w:szCs w:val="24"/>
        </w:rPr>
        <w:t xml:space="preserve"> confirmaron la alta capacidad de retención de humedad </w:t>
      </w:r>
      <w:r w:rsidR="005E199C">
        <w:rPr>
          <w:rFonts w:cs="Times New Roman"/>
          <w:sz w:val="24"/>
          <w:szCs w:val="24"/>
        </w:rPr>
        <w:t xml:space="preserve">que hay </w:t>
      </w:r>
      <w:r w:rsidR="00F16ABF">
        <w:rPr>
          <w:rFonts w:cs="Times New Roman"/>
          <w:sz w:val="24"/>
          <w:szCs w:val="24"/>
        </w:rPr>
        <w:t>en los suelos</w:t>
      </w:r>
      <w:r w:rsidR="007F4FE3">
        <w:rPr>
          <w:rFonts w:cs="Times New Roman"/>
          <w:sz w:val="24"/>
          <w:szCs w:val="24"/>
        </w:rPr>
        <w:t xml:space="preserve"> en este sector de la microcuenca y que en combinación con las pendientes </w:t>
      </w:r>
      <w:r w:rsidR="005E199C">
        <w:rPr>
          <w:rFonts w:cs="Times New Roman"/>
          <w:sz w:val="24"/>
          <w:szCs w:val="24"/>
        </w:rPr>
        <w:t>fuertes</w:t>
      </w:r>
      <w:r w:rsidR="00F16ABF">
        <w:rPr>
          <w:rFonts w:cs="Times New Roman"/>
          <w:sz w:val="24"/>
          <w:szCs w:val="24"/>
        </w:rPr>
        <w:t xml:space="preserve"> producen movimientos </w:t>
      </w:r>
      <w:r w:rsidR="005E199C">
        <w:rPr>
          <w:rFonts w:cs="Times New Roman"/>
          <w:sz w:val="24"/>
          <w:szCs w:val="24"/>
        </w:rPr>
        <w:t xml:space="preserve">masivos de tierra durante los picos </w:t>
      </w:r>
      <w:r w:rsidR="007F4FE3">
        <w:rPr>
          <w:rFonts w:cs="Times New Roman"/>
          <w:sz w:val="24"/>
          <w:szCs w:val="24"/>
        </w:rPr>
        <w:t xml:space="preserve">de intensidad </w:t>
      </w:r>
      <w:r w:rsidR="005E199C">
        <w:rPr>
          <w:rFonts w:cs="Times New Roman"/>
          <w:sz w:val="24"/>
          <w:szCs w:val="24"/>
        </w:rPr>
        <w:t xml:space="preserve"> de</w:t>
      </w:r>
      <w:r w:rsidR="00586DA9">
        <w:rPr>
          <w:rFonts w:cs="Times New Roman"/>
          <w:sz w:val="24"/>
          <w:szCs w:val="24"/>
        </w:rPr>
        <w:t xml:space="preserve"> las </w:t>
      </w:r>
      <w:r w:rsidR="005E199C">
        <w:rPr>
          <w:rFonts w:cs="Times New Roman"/>
          <w:sz w:val="24"/>
          <w:szCs w:val="24"/>
        </w:rPr>
        <w:t xml:space="preserve"> lluvias</w:t>
      </w:r>
      <w:r>
        <w:rPr>
          <w:rFonts w:cs="Times New Roman"/>
          <w:sz w:val="24"/>
          <w:szCs w:val="24"/>
        </w:rPr>
        <w:t>.</w:t>
      </w:r>
    </w:p>
    <w:p w14:paraId="3F8D23E1" w14:textId="533CC09E" w:rsidR="007F4FE3" w:rsidRDefault="007F4FE3" w:rsidP="007B6A5D">
      <w:pPr>
        <w:spacing w:before="0" w:after="0" w:line="240" w:lineRule="auto"/>
        <w:ind w:firstLine="567"/>
        <w:rPr>
          <w:rFonts w:cs="Times New Roman"/>
          <w:sz w:val="24"/>
          <w:szCs w:val="24"/>
        </w:rPr>
      </w:pPr>
      <w:r>
        <w:rPr>
          <w:rFonts w:cs="Times New Roman"/>
          <w:sz w:val="24"/>
          <w:szCs w:val="24"/>
        </w:rPr>
        <w:t xml:space="preserve">Respecto al análisis de variabilidad climática con el fenómeno ENOS, se encontró en la parte alta de la microcuenca, que durante un evento La Niña (aumento de los volúmenes de lluvia), hay mayor probabilidad de deslizamientos, mientras que en la fase El Niño </w:t>
      </w:r>
      <w:r>
        <w:rPr>
          <w:rFonts w:cs="Times New Roman"/>
          <w:sz w:val="24"/>
          <w:szCs w:val="24"/>
        </w:rPr>
        <w:lastRenderedPageBreak/>
        <w:t>(disminución de las lluvias) aumentaría en un 59% el área afectada por déficit de humedad en los suelos y adem</w:t>
      </w:r>
      <w:r w:rsidR="00586DA9">
        <w:rPr>
          <w:rFonts w:cs="Times New Roman"/>
          <w:sz w:val="24"/>
          <w:szCs w:val="24"/>
        </w:rPr>
        <w:t>ás</w:t>
      </w:r>
      <w:bookmarkStart w:id="1" w:name="_GoBack"/>
      <w:bookmarkEnd w:id="1"/>
      <w:r>
        <w:rPr>
          <w:rFonts w:cs="Times New Roman"/>
          <w:sz w:val="24"/>
          <w:szCs w:val="24"/>
        </w:rPr>
        <w:t xml:space="preserve"> el caudal de la quebrada Barbillas tendería a desaparecer. De esta manera, los análisis del suelo con eventos de variabilidad climática ayudan a tomar medidas en la definición del uso y en el manejo </w:t>
      </w:r>
      <w:r w:rsidR="00BA5E00">
        <w:rPr>
          <w:rFonts w:cs="Times New Roman"/>
          <w:sz w:val="24"/>
          <w:szCs w:val="24"/>
        </w:rPr>
        <w:t>de las</w:t>
      </w:r>
      <w:r>
        <w:rPr>
          <w:rFonts w:cs="Times New Roman"/>
          <w:sz w:val="24"/>
          <w:szCs w:val="24"/>
        </w:rPr>
        <w:t xml:space="preserve"> tierras al involucrar </w:t>
      </w:r>
      <w:r w:rsidR="00BA5E00">
        <w:rPr>
          <w:rFonts w:cs="Times New Roman"/>
          <w:sz w:val="24"/>
          <w:szCs w:val="24"/>
        </w:rPr>
        <w:t>estas amenazas</w:t>
      </w:r>
      <w:r>
        <w:rPr>
          <w:rFonts w:cs="Times New Roman"/>
          <w:sz w:val="24"/>
          <w:szCs w:val="24"/>
        </w:rPr>
        <w:t xml:space="preserve"> al ambiente.</w:t>
      </w:r>
    </w:p>
    <w:p w14:paraId="78DC144B" w14:textId="7CBD1C34" w:rsidR="000247A1" w:rsidRPr="007B6A5D" w:rsidRDefault="00337778" w:rsidP="00B13E1D">
      <w:pPr>
        <w:spacing w:line="240" w:lineRule="auto"/>
        <w:rPr>
          <w:b/>
          <w:bCs/>
        </w:rPr>
      </w:pPr>
      <w:r w:rsidRPr="007B6A5D">
        <w:rPr>
          <w:b/>
          <w:bCs/>
        </w:rPr>
        <w:t>REFERENCIAS</w:t>
      </w:r>
    </w:p>
    <w:p w14:paraId="56731725" w14:textId="4DEFFD2D" w:rsidR="000247A1" w:rsidRPr="00241181" w:rsidRDefault="00926F22" w:rsidP="007B6A5D">
      <w:pPr>
        <w:spacing w:before="0" w:after="0" w:line="240" w:lineRule="auto"/>
        <w:ind w:left="567" w:hanging="567"/>
        <w:rPr>
          <w:rFonts w:cs="Times New Roman"/>
        </w:rPr>
      </w:pPr>
      <w:proofErr w:type="spellStart"/>
      <w:r w:rsidRPr="007B6A5D">
        <w:rPr>
          <w:rFonts w:cs="Times New Roman"/>
        </w:rPr>
        <w:t>Agualimpia</w:t>
      </w:r>
      <w:proofErr w:type="spellEnd"/>
      <w:r w:rsidRPr="007B6A5D">
        <w:rPr>
          <w:rFonts w:cs="Times New Roman"/>
        </w:rPr>
        <w:t xml:space="preserve">, Y., Castro, C. 2018. Definición de las zonas </w:t>
      </w:r>
      <w:proofErr w:type="spellStart"/>
      <w:r w:rsidRPr="007B6A5D">
        <w:rPr>
          <w:rFonts w:cs="Times New Roman"/>
        </w:rPr>
        <w:t>morfoclimáticas</w:t>
      </w:r>
      <w:proofErr w:type="spellEnd"/>
      <w:r w:rsidRPr="007B6A5D">
        <w:rPr>
          <w:rFonts w:cs="Times New Roman"/>
        </w:rPr>
        <w:t xml:space="preserve"> de Colombia: un aporte a la correlación entre el clima ambiental y el régimen climático del suelo.  Agua y ambiente. Experiencias y reflexiones frente</w:t>
      </w:r>
      <w:r w:rsidR="00C521AF" w:rsidRPr="007B6A5D">
        <w:rPr>
          <w:rFonts w:cs="Times New Roman"/>
        </w:rPr>
        <w:t xml:space="preserve"> </w:t>
      </w:r>
      <w:r w:rsidRPr="007B6A5D">
        <w:rPr>
          <w:rFonts w:cs="Times New Roman"/>
        </w:rPr>
        <w:t>al desarrollo sostenible y sustentable. Universidad Distrital Francisco José de Caldas. Editorial UD. Colección tierra y vida. Bogotá, Colombia. 13 – 30 pp</w:t>
      </w:r>
      <w:r w:rsidR="00A54C52" w:rsidRPr="007B6A5D">
        <w:rPr>
          <w:rFonts w:cs="Times New Roman"/>
        </w:rPr>
        <w:t xml:space="preserve">. </w:t>
      </w:r>
      <w:hyperlink r:id="rId26" w:history="1">
        <w:r w:rsidR="00A8677D" w:rsidRPr="00241181">
          <w:rPr>
            <w:rStyle w:val="Hipervnculo"/>
            <w:rFonts w:cs="Times New Roman"/>
            <w:color w:val="auto"/>
            <w:u w:val="none"/>
          </w:rPr>
          <w:t>https://www.academia.edu/37828187/Definici%C3%B3n_de_las_zonas_morfoclim%C3%A1ticas_de_Colombia_un_aporte_a_la_correlaci%C3%B3n_entre_el_clima_ambiental_y_el_r%C3%A9gimen_clim%C3%A1tico_del_suelo</w:t>
        </w:r>
      </w:hyperlink>
      <w:r w:rsidR="00A54C52" w:rsidRPr="00241181">
        <w:rPr>
          <w:rFonts w:cs="Times New Roman"/>
        </w:rPr>
        <w:t>.</w:t>
      </w:r>
    </w:p>
    <w:p w14:paraId="184BB784" w14:textId="03E8F490" w:rsidR="000247A1" w:rsidRPr="00241181" w:rsidRDefault="00926F22" w:rsidP="007B6A5D">
      <w:pPr>
        <w:spacing w:before="0" w:after="0" w:line="240" w:lineRule="auto"/>
        <w:ind w:left="567" w:hanging="567"/>
        <w:rPr>
          <w:rFonts w:cs="Times New Roman"/>
        </w:rPr>
      </w:pPr>
      <w:r w:rsidRPr="007B6A5D">
        <w:rPr>
          <w:rFonts w:cs="Times New Roman"/>
        </w:rPr>
        <w:t xml:space="preserve">Castro, C., </w:t>
      </w:r>
      <w:proofErr w:type="spellStart"/>
      <w:r w:rsidRPr="007B6A5D">
        <w:rPr>
          <w:rFonts w:cs="Times New Roman"/>
        </w:rPr>
        <w:t>Agualimpia</w:t>
      </w:r>
      <w:proofErr w:type="spellEnd"/>
      <w:r w:rsidRPr="007B6A5D">
        <w:rPr>
          <w:rFonts w:cs="Times New Roman"/>
        </w:rPr>
        <w:t>, Y., Sánchez, F. 2016. Modelo climático de los páramos de la cordillera Oriental colombiana aplicado a regímenes de temperatura del suelo. Perspectiva Geográfica, 21(1), 33-62.</w:t>
      </w:r>
      <w:r w:rsidR="00DE6568" w:rsidRPr="007B6A5D">
        <w:rPr>
          <w:rFonts w:cs="Times New Roman"/>
        </w:rPr>
        <w:t xml:space="preserve"> Recuperado el 15 de septiembre de 2020 de</w:t>
      </w:r>
      <w:r w:rsidRPr="007B6A5D">
        <w:rPr>
          <w:rFonts w:cs="Times New Roman"/>
        </w:rPr>
        <w:t xml:space="preserve"> </w:t>
      </w:r>
      <w:hyperlink r:id="rId27" w:history="1">
        <w:r w:rsidR="00DE6568" w:rsidRPr="00241181">
          <w:rPr>
            <w:rStyle w:val="Hipervnculo"/>
            <w:rFonts w:cs="Times New Roman"/>
            <w:color w:val="auto"/>
            <w:u w:val="none"/>
          </w:rPr>
          <w:t>https://revistas.uptc.edu.co/index.php/perspectiva/article/view/4541</w:t>
        </w:r>
      </w:hyperlink>
      <w:r w:rsidR="00DE6568" w:rsidRPr="00241181">
        <w:rPr>
          <w:rFonts w:cs="Times New Roman"/>
        </w:rPr>
        <w:t xml:space="preserve"> </w:t>
      </w:r>
    </w:p>
    <w:p w14:paraId="2BCC0AF6" w14:textId="54802D1D" w:rsidR="000247A1" w:rsidRPr="007B6A5D" w:rsidRDefault="00926F22" w:rsidP="007B6A5D">
      <w:pPr>
        <w:spacing w:before="0" w:after="0" w:line="240" w:lineRule="auto"/>
        <w:ind w:left="567" w:hanging="567"/>
        <w:rPr>
          <w:rFonts w:cs="Times New Roman"/>
        </w:rPr>
      </w:pPr>
      <w:r w:rsidRPr="007B6A5D">
        <w:rPr>
          <w:rFonts w:cs="Times New Roman"/>
        </w:rPr>
        <w:t>Castro, C., 2019. Propuesta metodológica para definir la disponibilidad de agua para catastro GIT gestión de suelos y aplicaciones agrológicas. Subdirección de Agrología. Instituto Geográfico Agustín Codazzi. Socialización 19 de julio de 2019.</w:t>
      </w:r>
    </w:p>
    <w:p w14:paraId="53EF4BCC" w14:textId="0B50B844" w:rsidR="00B42AB8" w:rsidRPr="00241181" w:rsidRDefault="00415579" w:rsidP="007B6A5D">
      <w:pPr>
        <w:spacing w:before="0" w:after="0" w:line="240" w:lineRule="auto"/>
        <w:ind w:left="567" w:hanging="567"/>
        <w:rPr>
          <w:rFonts w:cs="Times New Roman"/>
        </w:rPr>
      </w:pPr>
      <w:r w:rsidRPr="007B6A5D">
        <w:rPr>
          <w:rFonts w:cs="Times New Roman"/>
        </w:rPr>
        <w:t xml:space="preserve">Decreto 3600 de 2007 por el cual se reglamentan las disposiciones de las Leyes 99 de 1993 y 388 de 1997 relativas a las determinantes de ordenamiento del suelo rural y al desarrollo de actuaciones urbanísticas de parcelación y edificación en este tipo de suelo y se adoptan otras disposiciones. Presidencia de la república de Colombia y el Ministro de Ambiente, Vivienda y Desarrollo Territorial. Recuperado el 18 de julio de 2020 de </w:t>
      </w:r>
      <w:hyperlink r:id="rId28" w:history="1">
        <w:r w:rsidRPr="00241181">
          <w:rPr>
            <w:rStyle w:val="Hipervnculo"/>
            <w:rFonts w:cs="Times New Roman"/>
            <w:color w:val="auto"/>
            <w:u w:val="none"/>
          </w:rPr>
          <w:t>https://www.funcionpublica.gov.co/eva/gestornormativo/norma.php?i=26993</w:t>
        </w:r>
      </w:hyperlink>
      <w:r w:rsidRPr="00241181">
        <w:rPr>
          <w:rFonts w:cs="Times New Roman"/>
        </w:rPr>
        <w:t xml:space="preserve"> </w:t>
      </w:r>
    </w:p>
    <w:p w14:paraId="294BC2DF" w14:textId="0DD232B0" w:rsidR="00C87C59" w:rsidRDefault="00926F22" w:rsidP="007B6A5D">
      <w:pPr>
        <w:spacing w:before="0" w:after="0" w:line="240" w:lineRule="auto"/>
        <w:ind w:left="567" w:hanging="567"/>
        <w:rPr>
          <w:rFonts w:cs="Times New Roman"/>
        </w:rPr>
      </w:pPr>
      <w:r w:rsidRPr="007B6A5D">
        <w:rPr>
          <w:rFonts w:cs="Times New Roman"/>
        </w:rPr>
        <w:t>IDEAM. 2014. Estudio Nacional del Agua (ENA). Bogotá</w:t>
      </w:r>
      <w:r w:rsidR="00C87C59" w:rsidRPr="007B6A5D">
        <w:rPr>
          <w:rFonts w:cs="Times New Roman"/>
        </w:rPr>
        <w:t xml:space="preserve">, </w:t>
      </w:r>
      <w:r w:rsidRPr="007B6A5D">
        <w:rPr>
          <w:rFonts w:cs="Times New Roman"/>
        </w:rPr>
        <w:t>Colombia: 493</w:t>
      </w:r>
      <w:r w:rsidR="00C87C59" w:rsidRPr="007B6A5D">
        <w:rPr>
          <w:rFonts w:cs="Times New Roman"/>
        </w:rPr>
        <w:t xml:space="preserve"> p.</w:t>
      </w:r>
    </w:p>
    <w:p w14:paraId="28D6CA31" w14:textId="77777777" w:rsidR="00241181" w:rsidRPr="007B6A5D" w:rsidRDefault="00241181" w:rsidP="007B6A5D">
      <w:pPr>
        <w:spacing w:before="0" w:after="0" w:line="240" w:lineRule="auto"/>
        <w:ind w:left="567" w:hanging="567"/>
        <w:rPr>
          <w:rFonts w:cs="Times New Roman"/>
        </w:rPr>
      </w:pPr>
    </w:p>
    <w:p w14:paraId="158DE64F" w14:textId="1B165816" w:rsidR="002D32D3" w:rsidRPr="007B6A5D" w:rsidRDefault="002D32D3" w:rsidP="007B6A5D">
      <w:pPr>
        <w:spacing w:before="0" w:after="0" w:line="240" w:lineRule="auto"/>
        <w:ind w:left="567" w:hanging="567"/>
        <w:rPr>
          <w:rFonts w:cs="Times New Roman"/>
        </w:rPr>
      </w:pPr>
      <w:r w:rsidRPr="007B6A5D">
        <w:rPr>
          <w:rFonts w:cs="Times New Roman"/>
        </w:rPr>
        <w:t>Instituto Geográfico Agustín Codazzi.</w:t>
      </w:r>
      <w:r w:rsidR="00EA0301" w:rsidRPr="007B6A5D">
        <w:rPr>
          <w:rFonts w:cs="Times New Roman"/>
        </w:rPr>
        <w:t xml:space="preserve"> IGAC).</w:t>
      </w:r>
      <w:r w:rsidRPr="007B6A5D">
        <w:rPr>
          <w:rFonts w:cs="Times New Roman"/>
        </w:rPr>
        <w:t xml:space="preserve"> 1998. Estudio general de suelos del departamento del Huila. Bogotá, D.C. Colombia. Subdirección de Agrología.</w:t>
      </w:r>
    </w:p>
    <w:p w14:paraId="6341FABF" w14:textId="54CC2679" w:rsidR="002D32D3" w:rsidRPr="007B6A5D" w:rsidRDefault="002D32D3" w:rsidP="007B6A5D">
      <w:pPr>
        <w:spacing w:before="0" w:after="0" w:line="240" w:lineRule="auto"/>
        <w:ind w:left="567" w:hanging="567"/>
        <w:rPr>
          <w:rFonts w:cs="Times New Roman"/>
        </w:rPr>
      </w:pPr>
      <w:r w:rsidRPr="007B6A5D">
        <w:rPr>
          <w:rFonts w:cs="Times New Roman"/>
        </w:rPr>
        <w:t>Instituto Geográfico Agustín Codazzi</w:t>
      </w:r>
      <w:r w:rsidR="00EA0301" w:rsidRPr="007B6A5D">
        <w:rPr>
          <w:rFonts w:cs="Times New Roman"/>
        </w:rPr>
        <w:t xml:space="preserve"> (IGAC)</w:t>
      </w:r>
      <w:r w:rsidRPr="007B6A5D">
        <w:rPr>
          <w:rFonts w:cs="Times New Roman"/>
        </w:rPr>
        <w:t>. 2007. Definición de Usos Alternativos y Sostenibles Para la Ocupación de las Tierras a Nivel Nacional. Bogotá, D.C. Colombia. Subdirección de Agrología.</w:t>
      </w:r>
    </w:p>
    <w:p w14:paraId="5606D34E" w14:textId="0539F373" w:rsidR="000247A1" w:rsidRPr="007B6A5D" w:rsidRDefault="00926F22" w:rsidP="007B6A5D">
      <w:pPr>
        <w:spacing w:before="0" w:after="0" w:line="240" w:lineRule="auto"/>
        <w:ind w:left="567" w:hanging="567"/>
        <w:rPr>
          <w:rFonts w:cs="Times New Roman"/>
        </w:rPr>
      </w:pPr>
      <w:r w:rsidRPr="007B6A5D">
        <w:rPr>
          <w:rFonts w:cs="Times New Roman"/>
        </w:rPr>
        <w:t xml:space="preserve">Instituto Geográfico Agustín Codazzi. </w:t>
      </w:r>
      <w:r w:rsidR="00EA0301" w:rsidRPr="007B6A5D">
        <w:rPr>
          <w:rFonts w:cs="Times New Roman"/>
        </w:rPr>
        <w:t xml:space="preserve">(IGAC). </w:t>
      </w:r>
      <w:r w:rsidRPr="007B6A5D">
        <w:rPr>
          <w:rFonts w:cs="Times New Roman"/>
        </w:rPr>
        <w:t>2014. Metodología para la clasificación de las tierras por su capacidad de uso. Bogotá D. C., Colombia. GIT Gestión de Suelos y Aplicaciones Agrológicas, Subdirección de Agrología.</w:t>
      </w:r>
    </w:p>
    <w:p w14:paraId="6DF6DDBB" w14:textId="063978BF" w:rsidR="002D32D3" w:rsidRPr="007B6A5D" w:rsidRDefault="002D32D3" w:rsidP="007B6A5D">
      <w:pPr>
        <w:spacing w:before="0" w:after="0" w:line="240" w:lineRule="auto"/>
        <w:ind w:left="567" w:hanging="567"/>
        <w:rPr>
          <w:rFonts w:cs="Times New Roman"/>
        </w:rPr>
      </w:pPr>
      <w:r w:rsidRPr="007B6A5D">
        <w:rPr>
          <w:rFonts w:cs="Times New Roman"/>
        </w:rPr>
        <w:t xml:space="preserve">Instituto Geográfico Agustín Codazzi IGAC. 2018. Levantamiento </w:t>
      </w:r>
      <w:proofErr w:type="spellStart"/>
      <w:r w:rsidRPr="007B6A5D">
        <w:rPr>
          <w:rFonts w:cs="Times New Roman"/>
        </w:rPr>
        <w:t>semidetallado</w:t>
      </w:r>
      <w:proofErr w:type="spellEnd"/>
      <w:r w:rsidRPr="007B6A5D">
        <w:rPr>
          <w:rFonts w:cs="Times New Roman"/>
        </w:rPr>
        <w:t xml:space="preserve"> de suelos de la Microcuenca Barbillas, municipio de La Plata, Huila. Subdirección de Agrología, Bogotá, Colombia.</w:t>
      </w:r>
    </w:p>
    <w:p w14:paraId="16532350" w14:textId="6BF3404E" w:rsidR="000247A1" w:rsidRPr="007B6A5D" w:rsidRDefault="00926F22" w:rsidP="007B6A5D">
      <w:pPr>
        <w:spacing w:before="0" w:after="0" w:line="240" w:lineRule="auto"/>
        <w:ind w:left="567" w:hanging="567"/>
        <w:rPr>
          <w:rFonts w:cs="Times New Roman"/>
        </w:rPr>
      </w:pPr>
      <w:r w:rsidRPr="007B6A5D">
        <w:rPr>
          <w:rFonts w:cs="Times New Roman"/>
        </w:rPr>
        <w:t xml:space="preserve">Leiva, N. 2012. Metodología para el cálculo de la humedad del suelo usando parámetros topográficos (MDE), climáticos y edáficos en un sector del piedemonte </w:t>
      </w:r>
      <w:proofErr w:type="spellStart"/>
      <w:r w:rsidRPr="007B6A5D">
        <w:rPr>
          <w:rFonts w:cs="Times New Roman"/>
        </w:rPr>
        <w:t>depositacional</w:t>
      </w:r>
      <w:proofErr w:type="spellEnd"/>
      <w:r w:rsidRPr="007B6A5D">
        <w:rPr>
          <w:rFonts w:cs="Times New Roman"/>
        </w:rPr>
        <w:t xml:space="preserve"> del municipio de Villavicencio. Bogotá, Colombia: Universidad Nacional de Colombia. Facultad de Agronomía, Escuela de Posgrados.</w:t>
      </w:r>
    </w:p>
    <w:p w14:paraId="259D9C9D" w14:textId="267DA65B" w:rsidR="00ED15BC" w:rsidRPr="007B6A5D" w:rsidRDefault="00ED15BC" w:rsidP="007B6A5D">
      <w:pPr>
        <w:spacing w:before="0" w:after="0" w:line="240" w:lineRule="auto"/>
        <w:ind w:left="567" w:hanging="567"/>
        <w:rPr>
          <w:rFonts w:cs="Times New Roman"/>
        </w:rPr>
      </w:pPr>
      <w:r w:rsidRPr="007B6A5D">
        <w:rPr>
          <w:rFonts w:cs="Times New Roman"/>
        </w:rPr>
        <w:t>Mejía, M. A. (2017). La seguridad alimentaria en Colombia. Cambios y vulnerabilidades. Universidad Central, Facultad de Ciencias administrativas económicas y contables. Bogotá, Colombia. 151 p.</w:t>
      </w:r>
      <w:r w:rsidR="001919F7" w:rsidRPr="007B6A5D">
        <w:rPr>
          <w:rFonts w:cs="Times New Roman"/>
        </w:rPr>
        <w:t xml:space="preserve"> recuperado el 1 de abril de 2021 en </w:t>
      </w:r>
      <w:hyperlink r:id="rId29" w:history="1">
        <w:r w:rsidR="001919F7" w:rsidRPr="00241181">
          <w:rPr>
            <w:rStyle w:val="Hipervnculo"/>
            <w:rFonts w:cs="Times New Roman"/>
            <w:color w:val="auto"/>
            <w:u w:val="none"/>
          </w:rPr>
          <w:t>https://www.ucentral.edu.co/sites/default/files/inline-files/2017_Seguridad_alimentaria_001.pdf</w:t>
        </w:r>
      </w:hyperlink>
      <w:r w:rsidR="001919F7" w:rsidRPr="007B6A5D">
        <w:rPr>
          <w:rFonts w:cs="Times New Roman"/>
        </w:rPr>
        <w:t xml:space="preserve"> </w:t>
      </w:r>
    </w:p>
    <w:p w14:paraId="745D2F2C" w14:textId="64DC09A2" w:rsidR="00821BF4" w:rsidRPr="007B6A5D" w:rsidRDefault="00821BF4" w:rsidP="007B6A5D">
      <w:pPr>
        <w:spacing w:before="0" w:after="0" w:line="240" w:lineRule="auto"/>
        <w:ind w:left="567" w:hanging="567"/>
        <w:rPr>
          <w:rFonts w:cs="Times New Roman"/>
        </w:rPr>
      </w:pPr>
      <w:r w:rsidRPr="007B6A5D">
        <w:rPr>
          <w:rFonts w:cs="Times New Roman"/>
        </w:rPr>
        <w:t xml:space="preserve">Palacios, I. Susceptibilidad a deslizamientos en la vía </w:t>
      </w:r>
      <w:proofErr w:type="spellStart"/>
      <w:r w:rsidRPr="007B6A5D">
        <w:rPr>
          <w:rFonts w:cs="Times New Roman"/>
        </w:rPr>
        <w:t>Aloag</w:t>
      </w:r>
      <w:proofErr w:type="spellEnd"/>
      <w:r w:rsidRPr="007B6A5D">
        <w:rPr>
          <w:rFonts w:cs="Times New Roman"/>
        </w:rPr>
        <w:t xml:space="preserve"> - Santo Domingo, mediante lógica difusa. En revista GEOESPACIAL (julio-Diciembre 2020) 17(2): 01-12. </w:t>
      </w:r>
      <w:bookmarkStart w:id="2" w:name="_Hlk68192443"/>
      <w:r w:rsidR="00DE6568" w:rsidRPr="007B6A5D">
        <w:rPr>
          <w:rFonts w:cs="Times New Roman"/>
        </w:rPr>
        <w:t>Recuperado el 15 de febrero de 2021 de</w:t>
      </w:r>
      <w:bookmarkEnd w:id="2"/>
      <w:r w:rsidR="00DE6568" w:rsidRPr="007B6A5D">
        <w:rPr>
          <w:rFonts w:cs="Times New Roman"/>
        </w:rPr>
        <w:t xml:space="preserve"> </w:t>
      </w:r>
      <w:r w:rsidRPr="007B6A5D">
        <w:rPr>
          <w:rFonts w:cs="Times New Roman"/>
        </w:rPr>
        <w:t>https://journal.espe.edu.ec/ojs/index.php/revista-geoespacial/article/view/1571</w:t>
      </w:r>
    </w:p>
    <w:p w14:paraId="37DFF427" w14:textId="17899975" w:rsidR="00323DC3" w:rsidRPr="007B6A5D" w:rsidRDefault="00323DC3" w:rsidP="007B6A5D">
      <w:pPr>
        <w:spacing w:before="0" w:after="0" w:line="240" w:lineRule="auto"/>
        <w:ind w:left="567" w:hanging="567"/>
        <w:rPr>
          <w:rFonts w:cs="Times New Roman"/>
          <w:lang w:val="en-CA"/>
        </w:rPr>
      </w:pPr>
      <w:r w:rsidRPr="007B6A5D">
        <w:rPr>
          <w:rFonts w:cs="Times New Roman"/>
        </w:rPr>
        <w:t>Suarez</w:t>
      </w:r>
      <w:r w:rsidR="00DE474D" w:rsidRPr="007B6A5D">
        <w:rPr>
          <w:rFonts w:cs="Times New Roman"/>
        </w:rPr>
        <w:t xml:space="preserve"> </w:t>
      </w:r>
      <w:r w:rsidRPr="007B6A5D">
        <w:rPr>
          <w:rFonts w:cs="Times New Roman"/>
        </w:rPr>
        <w:t xml:space="preserve">de Castro, F. (1982), Conservación de suelos. </w:t>
      </w:r>
      <w:proofErr w:type="gramStart"/>
      <w:r w:rsidRPr="007B6A5D">
        <w:rPr>
          <w:rFonts w:cs="Times New Roman"/>
        </w:rPr>
        <w:t>segunda</w:t>
      </w:r>
      <w:proofErr w:type="gramEnd"/>
      <w:r w:rsidRPr="007B6A5D">
        <w:rPr>
          <w:rFonts w:cs="Times New Roman"/>
        </w:rPr>
        <w:t xml:space="preserve"> </w:t>
      </w:r>
      <w:r w:rsidR="00D834C8" w:rsidRPr="007B6A5D">
        <w:rPr>
          <w:rFonts w:cs="Times New Roman"/>
        </w:rPr>
        <w:t xml:space="preserve">edición. </w:t>
      </w:r>
      <w:proofErr w:type="spellStart"/>
      <w:r w:rsidR="00D834C8" w:rsidRPr="007B6A5D">
        <w:rPr>
          <w:rFonts w:cs="Times New Roman"/>
          <w:lang w:val="en-CA"/>
        </w:rPr>
        <w:t>Salvat</w:t>
      </w:r>
      <w:proofErr w:type="spellEnd"/>
      <w:r w:rsidR="00D834C8" w:rsidRPr="007B6A5D">
        <w:rPr>
          <w:rFonts w:cs="Times New Roman"/>
          <w:lang w:val="en-CA"/>
        </w:rPr>
        <w:t xml:space="preserve"> </w:t>
      </w:r>
      <w:proofErr w:type="spellStart"/>
      <w:r w:rsidR="00D834C8" w:rsidRPr="007B6A5D">
        <w:rPr>
          <w:rFonts w:cs="Times New Roman"/>
          <w:lang w:val="en-CA"/>
        </w:rPr>
        <w:t>Editores</w:t>
      </w:r>
      <w:proofErr w:type="spellEnd"/>
      <w:r w:rsidR="00D834C8" w:rsidRPr="007B6A5D">
        <w:rPr>
          <w:rFonts w:cs="Times New Roman"/>
          <w:lang w:val="en-CA"/>
        </w:rPr>
        <w:t>.</w:t>
      </w:r>
      <w:r w:rsidRPr="007B6A5D">
        <w:rPr>
          <w:rFonts w:cs="Times New Roman"/>
          <w:lang w:val="en-CA"/>
        </w:rPr>
        <w:t xml:space="preserve">  </w:t>
      </w:r>
      <w:proofErr w:type="gramStart"/>
      <w:r w:rsidRPr="007B6A5D">
        <w:rPr>
          <w:rFonts w:cs="Times New Roman"/>
          <w:lang w:val="en-CA"/>
        </w:rPr>
        <w:t>298</w:t>
      </w:r>
      <w:proofErr w:type="gramEnd"/>
      <w:r w:rsidRPr="007B6A5D">
        <w:rPr>
          <w:rFonts w:cs="Times New Roman"/>
          <w:lang w:val="en-CA"/>
        </w:rPr>
        <w:t xml:space="preserve"> p. </w:t>
      </w:r>
    </w:p>
    <w:p w14:paraId="53178314" w14:textId="77777777" w:rsidR="00241181" w:rsidRDefault="00241181" w:rsidP="007B6A5D">
      <w:pPr>
        <w:spacing w:before="0" w:after="0" w:line="240" w:lineRule="auto"/>
        <w:ind w:left="567" w:hanging="567"/>
        <w:rPr>
          <w:rFonts w:cs="Times New Roman"/>
          <w:lang w:val="en-US"/>
        </w:rPr>
      </w:pPr>
    </w:p>
    <w:p w14:paraId="42AA1B20" w14:textId="2E741F42" w:rsidR="00C521AF" w:rsidRPr="007B6A5D" w:rsidRDefault="00926F22" w:rsidP="007B6A5D">
      <w:pPr>
        <w:spacing w:before="0" w:after="0" w:line="240" w:lineRule="auto"/>
        <w:ind w:left="567" w:hanging="567"/>
        <w:rPr>
          <w:rFonts w:cs="Times New Roman"/>
          <w:lang w:val="en-US"/>
        </w:rPr>
      </w:pPr>
      <w:proofErr w:type="spellStart"/>
      <w:r w:rsidRPr="007B6A5D">
        <w:rPr>
          <w:rFonts w:cs="Times New Roman"/>
          <w:lang w:val="en-US"/>
        </w:rPr>
        <w:t>Thornthwaite</w:t>
      </w:r>
      <w:proofErr w:type="spellEnd"/>
      <w:r w:rsidRPr="007B6A5D">
        <w:rPr>
          <w:rFonts w:cs="Times New Roman"/>
          <w:lang w:val="en-US"/>
        </w:rPr>
        <w:t xml:space="preserve">, C.W.; Mather, Jr. 1955. The Water Balance. Laboratory of Climatology, </w:t>
      </w:r>
      <w:proofErr w:type="spellStart"/>
      <w:r w:rsidRPr="007B6A5D">
        <w:rPr>
          <w:rFonts w:cs="Times New Roman"/>
          <w:lang w:val="en-US"/>
        </w:rPr>
        <w:t>Centerton</w:t>
      </w:r>
      <w:proofErr w:type="spellEnd"/>
      <w:r w:rsidRPr="007B6A5D">
        <w:rPr>
          <w:rFonts w:cs="Times New Roman"/>
          <w:lang w:val="en-US"/>
        </w:rPr>
        <w:t>, NJ, USA.</w:t>
      </w:r>
    </w:p>
    <w:p w14:paraId="22E98436" w14:textId="3FCFDAC1" w:rsidR="000247A1" w:rsidRPr="007B6A5D" w:rsidRDefault="00926F22" w:rsidP="007B6A5D">
      <w:pPr>
        <w:spacing w:before="0" w:after="0" w:line="240" w:lineRule="auto"/>
        <w:ind w:left="567" w:hanging="567"/>
        <w:rPr>
          <w:rFonts w:cs="Times New Roman"/>
          <w:lang w:val="en-US"/>
        </w:rPr>
      </w:pPr>
      <w:r w:rsidRPr="007B6A5D">
        <w:rPr>
          <w:rFonts w:cs="Times New Roman"/>
          <w:lang w:val="en-US"/>
        </w:rPr>
        <w:t xml:space="preserve">USDA (2014). Keys to Soil Taxonomy. 12va ed. United States </w:t>
      </w:r>
      <w:proofErr w:type="spellStart"/>
      <w:r w:rsidRPr="007B6A5D">
        <w:rPr>
          <w:rFonts w:cs="Times New Roman"/>
          <w:lang w:val="en-US"/>
        </w:rPr>
        <w:t>Departament</w:t>
      </w:r>
      <w:proofErr w:type="spellEnd"/>
      <w:r w:rsidRPr="007B6A5D">
        <w:rPr>
          <w:rFonts w:cs="Times New Roman"/>
          <w:lang w:val="en-US"/>
        </w:rPr>
        <w:t xml:space="preserve"> of Agriculture.</w:t>
      </w:r>
    </w:p>
    <w:sectPr w:rsidR="000247A1" w:rsidRPr="007B6A5D" w:rsidSect="00CC145F">
      <w:headerReference w:type="even" r:id="rId30"/>
      <w:headerReference w:type="default" r:id="rId31"/>
      <w:footerReference w:type="even" r:id="rId32"/>
      <w:footerReference w:type="default" r:id="rId33"/>
      <w:headerReference w:type="first" r:id="rId34"/>
      <w:footerReference w:type="first" r:id="rId35"/>
      <w:pgSz w:w="11907" w:h="16839" w:code="9"/>
      <w:pgMar w:top="1418" w:right="1418" w:bottom="1418" w:left="1418" w:header="113" w:footer="397" w:gutter="0"/>
      <w:pgNumType w:start="36"/>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3603E" w14:textId="77777777" w:rsidR="001975D4" w:rsidRDefault="001975D4" w:rsidP="00F12F75">
      <w:pPr>
        <w:spacing w:before="0" w:after="0" w:line="240" w:lineRule="auto"/>
      </w:pPr>
      <w:r>
        <w:separator/>
      </w:r>
    </w:p>
  </w:endnote>
  <w:endnote w:type="continuationSeparator" w:id="0">
    <w:p w14:paraId="2BA5BB26" w14:textId="77777777" w:rsidR="001975D4" w:rsidRDefault="001975D4" w:rsidP="00F12F7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Noto Sans Devanagari">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8704B" w14:textId="77777777" w:rsidR="00CC145F" w:rsidRPr="00ED7B01" w:rsidRDefault="00CC145F" w:rsidP="00CC145F">
    <w:pPr>
      <w:pStyle w:val="Piedepgina"/>
      <w:jc w:val="center"/>
      <w:rPr>
        <w:sz w:val="20"/>
      </w:rPr>
    </w:pPr>
    <w:r>
      <w:rPr>
        <w:sz w:val="20"/>
      </w:rPr>
      <w:t>Revista GEOESPACIAL, 18(1):36-48</w:t>
    </w:r>
  </w:p>
  <w:p w14:paraId="1FE267EA" w14:textId="77777777" w:rsidR="00CC145F" w:rsidRDefault="00CC14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3FF47" w14:textId="1465B4B9" w:rsidR="00CC145F" w:rsidRPr="00ED7B01" w:rsidRDefault="00CC145F" w:rsidP="00CC145F">
    <w:pPr>
      <w:pStyle w:val="Piedepgina"/>
      <w:jc w:val="center"/>
      <w:rPr>
        <w:sz w:val="20"/>
      </w:rPr>
    </w:pPr>
    <w:r>
      <w:rPr>
        <w:sz w:val="20"/>
      </w:rPr>
      <w:t>Revista GEOESPACIAL, 18(1):36-48</w:t>
    </w:r>
  </w:p>
  <w:p w14:paraId="49E54A55" w14:textId="5360B7CB" w:rsidR="009F5363" w:rsidRDefault="009F5363">
    <w:pPr>
      <w:pStyle w:val="Piedepgina"/>
    </w:pPr>
  </w:p>
  <w:p w14:paraId="0F5546FA" w14:textId="77777777" w:rsidR="009F5363" w:rsidRDefault="009F536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B3172" w14:textId="205C42BB" w:rsidR="00CC145F" w:rsidRPr="00ED7B01" w:rsidRDefault="00CC145F" w:rsidP="00CC145F">
    <w:pPr>
      <w:pStyle w:val="Piedepgina"/>
      <w:jc w:val="center"/>
      <w:rPr>
        <w:sz w:val="20"/>
      </w:rPr>
    </w:pPr>
    <w:r>
      <w:rPr>
        <w:sz w:val="20"/>
      </w:rPr>
      <w:t>Revista GEOESPACIAL, 18(1):36-48</w:t>
    </w:r>
  </w:p>
  <w:p w14:paraId="1DD7B1C2" w14:textId="77777777" w:rsidR="00CC145F" w:rsidRDefault="00CC14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97C078" w14:textId="77777777" w:rsidR="001975D4" w:rsidRDefault="001975D4" w:rsidP="00F12F75">
      <w:pPr>
        <w:spacing w:before="0" w:after="0" w:line="240" w:lineRule="auto"/>
      </w:pPr>
      <w:r>
        <w:separator/>
      </w:r>
    </w:p>
  </w:footnote>
  <w:footnote w:type="continuationSeparator" w:id="0">
    <w:p w14:paraId="2DD2E5B2" w14:textId="77777777" w:rsidR="001975D4" w:rsidRDefault="001975D4" w:rsidP="00F12F7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20"/>
      </w:rPr>
      <w:id w:val="-1046524426"/>
      <w:docPartObj>
        <w:docPartGallery w:val="Page Numbers (Top of Page)"/>
        <w:docPartUnique/>
      </w:docPartObj>
    </w:sdtPr>
    <w:sdtEndPr/>
    <w:sdtContent>
      <w:p w14:paraId="67440945" w14:textId="77777777" w:rsidR="00CC145F" w:rsidRDefault="00CC145F" w:rsidP="00CC145F">
        <w:pPr>
          <w:pStyle w:val="Encabezado"/>
          <w:rPr>
            <w:i/>
            <w:sz w:val="20"/>
          </w:rPr>
        </w:pPr>
      </w:p>
      <w:p w14:paraId="6FAE532F" w14:textId="77777777" w:rsidR="00CC145F" w:rsidRDefault="00CC145F" w:rsidP="00CC145F">
        <w:pPr>
          <w:pStyle w:val="Encabezado"/>
          <w:rPr>
            <w:i/>
            <w:sz w:val="20"/>
          </w:rPr>
        </w:pPr>
      </w:p>
      <w:p w14:paraId="751FB759" w14:textId="38249D2B" w:rsidR="00CC145F" w:rsidRPr="00BD58BD" w:rsidRDefault="00CC145F" w:rsidP="00CC145F">
        <w:pPr>
          <w:pStyle w:val="Encabezado"/>
          <w:rPr>
            <w:i/>
            <w:sz w:val="20"/>
          </w:rPr>
        </w:pPr>
        <w:r>
          <w:rPr>
            <w:i/>
            <w:sz w:val="20"/>
          </w:rPr>
          <w:t xml:space="preserve">El almacenamiento y la disponibilidad de agua        </w:t>
        </w:r>
        <w:r>
          <w:rPr>
            <w:sz w:val="20"/>
          </w:rPr>
          <w:t xml:space="preserve">                                                                                    </w:t>
        </w:r>
        <w:proofErr w:type="spellStart"/>
        <w:r w:rsidRPr="00CC39D9">
          <w:rPr>
            <w:sz w:val="20"/>
          </w:rPr>
          <w:t>Pag</w:t>
        </w:r>
        <w:proofErr w:type="spellEnd"/>
        <w:r w:rsidRPr="00CC39D9">
          <w:rPr>
            <w:sz w:val="20"/>
          </w:rPr>
          <w:t xml:space="preserve">. </w:t>
        </w:r>
        <w:r w:rsidRPr="00CC39D9">
          <w:rPr>
            <w:sz w:val="20"/>
          </w:rPr>
          <w:sym w:font="Symbol" w:char="F07C"/>
        </w:r>
        <w:r w:rsidRPr="00CC39D9">
          <w:rPr>
            <w:sz w:val="20"/>
          </w:rPr>
          <w:t xml:space="preserve"> </w:t>
        </w:r>
        <w:r w:rsidRPr="00CC39D9">
          <w:rPr>
            <w:sz w:val="20"/>
          </w:rPr>
          <w:fldChar w:fldCharType="begin"/>
        </w:r>
        <w:r w:rsidRPr="00CC39D9">
          <w:rPr>
            <w:sz w:val="20"/>
          </w:rPr>
          <w:instrText>PAGE   \* MERGEFORMAT</w:instrText>
        </w:r>
        <w:r w:rsidRPr="00CC39D9">
          <w:rPr>
            <w:sz w:val="20"/>
          </w:rPr>
          <w:fldChar w:fldCharType="separate"/>
        </w:r>
        <w:r w:rsidR="00B023CC" w:rsidRPr="00B023CC">
          <w:rPr>
            <w:noProof/>
            <w:sz w:val="20"/>
            <w:lang w:val="es-ES"/>
          </w:rPr>
          <w:t>48</w:t>
        </w:r>
        <w:r w:rsidRPr="00CC39D9">
          <w:rPr>
            <w:sz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3398F" w14:textId="77777777" w:rsidR="00CC145F" w:rsidRDefault="00CC145F">
    <w:pPr>
      <w:pStyle w:val="Encabezado"/>
    </w:pPr>
  </w:p>
  <w:p w14:paraId="6C34D7AD" w14:textId="77777777" w:rsidR="00CC145F" w:rsidRDefault="00CC145F">
    <w:pPr>
      <w:pStyle w:val="Encabezado"/>
    </w:pPr>
  </w:p>
  <w:p w14:paraId="1F77B6DF" w14:textId="747569AC" w:rsidR="00CC145F" w:rsidRPr="00CC39D9" w:rsidRDefault="00CC145F" w:rsidP="00CC145F">
    <w:pPr>
      <w:pStyle w:val="Encabezado"/>
      <w:rPr>
        <w:sz w:val="20"/>
      </w:rPr>
    </w:pPr>
    <w:r>
      <w:rPr>
        <w:i/>
        <w:sz w:val="20"/>
      </w:rPr>
      <w:t>C</w:t>
    </w:r>
    <w:r w:rsidRPr="00CC39D9">
      <w:rPr>
        <w:i/>
        <w:sz w:val="20"/>
      </w:rPr>
      <w:t xml:space="preserve">. </w:t>
    </w:r>
    <w:r>
      <w:rPr>
        <w:i/>
        <w:sz w:val="20"/>
      </w:rPr>
      <w:t>Castro</w:t>
    </w:r>
    <w:r w:rsidRPr="00CC39D9">
      <w:rPr>
        <w:i/>
        <w:sz w:val="20"/>
      </w:rPr>
      <w:t>;</w:t>
    </w:r>
    <w:r>
      <w:rPr>
        <w:i/>
        <w:sz w:val="20"/>
      </w:rPr>
      <w:t xml:space="preserve"> D. Guzmán; D. Cortés</w:t>
    </w:r>
    <w:r>
      <w:rPr>
        <w:sz w:val="20"/>
      </w:rPr>
      <w:t xml:space="preserve">                                                                                                                 </w:t>
    </w:r>
    <w:proofErr w:type="spellStart"/>
    <w:r w:rsidRPr="00CC39D9">
      <w:rPr>
        <w:sz w:val="20"/>
      </w:rPr>
      <w:t>Pag</w:t>
    </w:r>
    <w:proofErr w:type="spellEnd"/>
    <w:r w:rsidRPr="00CC39D9">
      <w:rPr>
        <w:sz w:val="20"/>
      </w:rPr>
      <w:t xml:space="preserve">. </w:t>
    </w:r>
    <w:r w:rsidRPr="00CC39D9">
      <w:rPr>
        <w:sz w:val="20"/>
      </w:rPr>
      <w:sym w:font="Symbol" w:char="F07C"/>
    </w:r>
    <w:r w:rsidRPr="00CC39D9">
      <w:rPr>
        <w:sz w:val="20"/>
      </w:rPr>
      <w:t xml:space="preserve">  </w:t>
    </w:r>
    <w:sdt>
      <w:sdtPr>
        <w:rPr>
          <w:sz w:val="20"/>
        </w:rPr>
        <w:id w:val="1716002583"/>
        <w:docPartObj>
          <w:docPartGallery w:val="Page Numbers (Top of Page)"/>
          <w:docPartUnique/>
        </w:docPartObj>
      </w:sdtPr>
      <w:sdtEndPr/>
      <w:sdtContent>
        <w:r w:rsidRPr="00CC39D9">
          <w:rPr>
            <w:sz w:val="20"/>
          </w:rPr>
          <w:fldChar w:fldCharType="begin"/>
        </w:r>
        <w:r w:rsidRPr="00CC39D9">
          <w:rPr>
            <w:sz w:val="20"/>
          </w:rPr>
          <w:instrText>PAGE   \* MERGEFORMAT</w:instrText>
        </w:r>
        <w:r w:rsidRPr="00CC39D9">
          <w:rPr>
            <w:sz w:val="20"/>
          </w:rPr>
          <w:fldChar w:fldCharType="separate"/>
        </w:r>
        <w:r w:rsidR="00B023CC" w:rsidRPr="00B023CC">
          <w:rPr>
            <w:noProof/>
            <w:sz w:val="20"/>
            <w:lang w:val="es-ES"/>
          </w:rPr>
          <w:t>47</w:t>
        </w:r>
        <w:r w:rsidRPr="00CC39D9">
          <w:rPr>
            <w:sz w:val="20"/>
          </w:rPr>
          <w:fldChar w:fldCharType="end"/>
        </w:r>
      </w:sdtContent>
    </w:sdt>
  </w:p>
  <w:p w14:paraId="4242EC07" w14:textId="77777777" w:rsidR="00CC145F" w:rsidRDefault="00CC145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27E59" w14:textId="77777777" w:rsidR="00CC145F" w:rsidRDefault="00CC145F" w:rsidP="00CC145F">
    <w:pPr>
      <w:pStyle w:val="Encabezado"/>
      <w:tabs>
        <w:tab w:val="left" w:pos="6804"/>
      </w:tabs>
      <w:rPr>
        <w:sz w:val="20"/>
      </w:rPr>
    </w:pPr>
  </w:p>
  <w:p w14:paraId="3FE5D966" w14:textId="77777777" w:rsidR="00CC145F" w:rsidRDefault="00CC145F" w:rsidP="00CC145F">
    <w:pPr>
      <w:pStyle w:val="Encabezado"/>
      <w:tabs>
        <w:tab w:val="left" w:pos="6804"/>
      </w:tabs>
      <w:rPr>
        <w:sz w:val="20"/>
      </w:rPr>
    </w:pPr>
  </w:p>
  <w:p w14:paraId="1D9B95F7" w14:textId="096D8047" w:rsidR="00CC145F" w:rsidRDefault="00CC145F" w:rsidP="00CC145F">
    <w:pPr>
      <w:pStyle w:val="Encabezado"/>
      <w:tabs>
        <w:tab w:val="left" w:pos="6804"/>
      </w:tabs>
      <w:rPr>
        <w:i/>
        <w:sz w:val="20"/>
      </w:rPr>
    </w:pPr>
    <w:r>
      <w:rPr>
        <w:sz w:val="20"/>
      </w:rPr>
      <w:t>Revista GEOESPACIAL (</w:t>
    </w:r>
    <w:proofErr w:type="gramStart"/>
    <w:r>
      <w:rPr>
        <w:sz w:val="20"/>
      </w:rPr>
      <w:t>Enero-Junio</w:t>
    </w:r>
    <w:proofErr w:type="gramEnd"/>
    <w:r>
      <w:rPr>
        <w:sz w:val="20"/>
      </w:rPr>
      <w:t xml:space="preserve"> 2021) 18(1): 36-48</w:t>
    </w:r>
  </w:p>
  <w:p w14:paraId="74D4E8C3" w14:textId="77777777" w:rsidR="00CC145F" w:rsidRPr="00C346E7" w:rsidRDefault="00CC145F" w:rsidP="00CC145F">
    <w:pPr>
      <w:pStyle w:val="Encabezado"/>
      <w:tabs>
        <w:tab w:val="left" w:pos="6804"/>
      </w:tabs>
      <w:rPr>
        <w:i/>
        <w:sz w:val="20"/>
      </w:rPr>
    </w:pPr>
    <w:r>
      <w:rPr>
        <w:sz w:val="20"/>
      </w:rPr>
      <w:t>ISSN: 2600-5921</w:t>
    </w:r>
  </w:p>
  <w:p w14:paraId="381E70B4" w14:textId="77777777" w:rsidR="00CC145F" w:rsidRDefault="00CC14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10429"/>
    <w:multiLevelType w:val="multilevel"/>
    <w:tmpl w:val="AB4E5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A03B40"/>
    <w:multiLevelType w:val="multilevel"/>
    <w:tmpl w:val="73EC80FA"/>
    <w:lvl w:ilvl="0">
      <w:start w:val="1"/>
      <w:numFmt w:val="upperRoman"/>
      <w:lvlText w:val="%1."/>
      <w:lvlJc w:val="left"/>
      <w:pPr>
        <w:ind w:left="1080" w:hanging="720"/>
      </w:pPr>
      <w:rPr>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153A9E"/>
    <w:multiLevelType w:val="multilevel"/>
    <w:tmpl w:val="176C079A"/>
    <w:lvl w:ilvl="0">
      <w:start w:val="1"/>
      <w:numFmt w:val="decimal"/>
      <w:pStyle w:val="Ttulo1"/>
      <w:lvlText w:val="%1."/>
      <w:lvlJc w:val="left"/>
      <w:pPr>
        <w:ind w:left="4544" w:hanging="432"/>
      </w:pPr>
      <w:rPr>
        <w:b/>
        <w:bCs w:val="0"/>
        <w:i w:val="0"/>
        <w:iCs w:val="0"/>
        <w:caps w:val="0"/>
        <w:smallCaps w:val="0"/>
        <w:strike w:val="0"/>
        <w:dstrike w:val="0"/>
        <w:vanish w:val="0"/>
        <w:color w:val="000000"/>
        <w:spacing w:val="0"/>
        <w:kern w:val="0"/>
        <w:position w:val="0"/>
        <w:sz w:val="22"/>
        <w:u w:val="none"/>
        <w:effect w:val="none"/>
        <w:vertAlign w:val="baseline"/>
        <w:em w:val="none"/>
      </w:rPr>
    </w:lvl>
    <w:lvl w:ilvl="1">
      <w:start w:val="1"/>
      <w:numFmt w:val="decimal"/>
      <w:pStyle w:val="Ttulo2"/>
      <w:lvlText w:val="%1.%2"/>
      <w:lvlJc w:val="left"/>
      <w:pPr>
        <w:ind w:left="576" w:hanging="576"/>
      </w:pPr>
      <w:rPr>
        <w:u w:val="none"/>
      </w:rPr>
    </w:lvl>
    <w:lvl w:ilvl="2">
      <w:start w:val="1"/>
      <w:numFmt w:val="decimal"/>
      <w:pStyle w:val="Ttulo3"/>
      <w:lvlText w:val="%1.%2.%3"/>
      <w:lvlJc w:val="left"/>
      <w:pPr>
        <w:ind w:left="1080" w:hanging="720"/>
      </w:pPr>
      <w:rPr>
        <w:b/>
        <w:sz w:val="22"/>
        <w:szCs w:val="22"/>
      </w:rPr>
    </w:lvl>
    <w:lvl w:ilvl="3">
      <w:start w:val="1"/>
      <w:numFmt w:val="decimal"/>
      <w:pStyle w:val="Ttulo4"/>
      <w:lvlText w:val="%1.%2.%3.%4"/>
      <w:lvlJc w:val="left"/>
      <w:pPr>
        <w:ind w:left="1290" w:hanging="864"/>
      </w:pPr>
      <w:rPr>
        <w:b/>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7A1"/>
    <w:rsid w:val="00003DAE"/>
    <w:rsid w:val="000247A1"/>
    <w:rsid w:val="00046588"/>
    <w:rsid w:val="0008413F"/>
    <w:rsid w:val="000A4240"/>
    <w:rsid w:val="000C2FA1"/>
    <w:rsid w:val="00122BD9"/>
    <w:rsid w:val="0012786C"/>
    <w:rsid w:val="0014091C"/>
    <w:rsid w:val="001919F7"/>
    <w:rsid w:val="001975D4"/>
    <w:rsid w:val="001A3F60"/>
    <w:rsid w:val="001B52FF"/>
    <w:rsid w:val="001C507A"/>
    <w:rsid w:val="001D3E5D"/>
    <w:rsid w:val="001E6220"/>
    <w:rsid w:val="00241181"/>
    <w:rsid w:val="002426BB"/>
    <w:rsid w:val="00243BD9"/>
    <w:rsid w:val="00245C48"/>
    <w:rsid w:val="00246076"/>
    <w:rsid w:val="00252475"/>
    <w:rsid w:val="002636C2"/>
    <w:rsid w:val="0028409D"/>
    <w:rsid w:val="002A2C77"/>
    <w:rsid w:val="002B2091"/>
    <w:rsid w:val="002C2A4D"/>
    <w:rsid w:val="002D32D3"/>
    <w:rsid w:val="002E3941"/>
    <w:rsid w:val="003157D0"/>
    <w:rsid w:val="00323DC3"/>
    <w:rsid w:val="00337778"/>
    <w:rsid w:val="003617DF"/>
    <w:rsid w:val="00361CEE"/>
    <w:rsid w:val="003747C0"/>
    <w:rsid w:val="00376AAE"/>
    <w:rsid w:val="00392D3F"/>
    <w:rsid w:val="003F0F51"/>
    <w:rsid w:val="003F1133"/>
    <w:rsid w:val="00405A8B"/>
    <w:rsid w:val="00415579"/>
    <w:rsid w:val="004413DD"/>
    <w:rsid w:val="00460F5B"/>
    <w:rsid w:val="00474AE8"/>
    <w:rsid w:val="004762C4"/>
    <w:rsid w:val="00492208"/>
    <w:rsid w:val="004C2DA6"/>
    <w:rsid w:val="004C5683"/>
    <w:rsid w:val="004D0BFA"/>
    <w:rsid w:val="004D4C34"/>
    <w:rsid w:val="004E0546"/>
    <w:rsid w:val="004F3416"/>
    <w:rsid w:val="005009F4"/>
    <w:rsid w:val="00522F19"/>
    <w:rsid w:val="0057592F"/>
    <w:rsid w:val="00586DA9"/>
    <w:rsid w:val="005C0919"/>
    <w:rsid w:val="005C177C"/>
    <w:rsid w:val="005C76E6"/>
    <w:rsid w:val="005E199C"/>
    <w:rsid w:val="0061032F"/>
    <w:rsid w:val="00623A8A"/>
    <w:rsid w:val="006301E4"/>
    <w:rsid w:val="006362E7"/>
    <w:rsid w:val="00637BD2"/>
    <w:rsid w:val="00640192"/>
    <w:rsid w:val="00650DD0"/>
    <w:rsid w:val="0065720D"/>
    <w:rsid w:val="00665FE1"/>
    <w:rsid w:val="006722E2"/>
    <w:rsid w:val="00686347"/>
    <w:rsid w:val="00691C28"/>
    <w:rsid w:val="006C17A1"/>
    <w:rsid w:val="006D333C"/>
    <w:rsid w:val="006F0986"/>
    <w:rsid w:val="006F575C"/>
    <w:rsid w:val="00704CD3"/>
    <w:rsid w:val="00716793"/>
    <w:rsid w:val="0072555A"/>
    <w:rsid w:val="00765D47"/>
    <w:rsid w:val="0078646F"/>
    <w:rsid w:val="007919BD"/>
    <w:rsid w:val="007B6A5D"/>
    <w:rsid w:val="007C0DD8"/>
    <w:rsid w:val="007C64FE"/>
    <w:rsid w:val="007C7D21"/>
    <w:rsid w:val="007D6F74"/>
    <w:rsid w:val="007E2BB3"/>
    <w:rsid w:val="007E2C3B"/>
    <w:rsid w:val="007F4FE3"/>
    <w:rsid w:val="008215D5"/>
    <w:rsid w:val="00821BF4"/>
    <w:rsid w:val="00823BA0"/>
    <w:rsid w:val="008506BC"/>
    <w:rsid w:val="008549AD"/>
    <w:rsid w:val="008B27DA"/>
    <w:rsid w:val="008D538F"/>
    <w:rsid w:val="008E124F"/>
    <w:rsid w:val="008E57F0"/>
    <w:rsid w:val="008E6AEB"/>
    <w:rsid w:val="008F5FFC"/>
    <w:rsid w:val="008F6C3F"/>
    <w:rsid w:val="009201BD"/>
    <w:rsid w:val="00926F22"/>
    <w:rsid w:val="0095408C"/>
    <w:rsid w:val="00964057"/>
    <w:rsid w:val="009803FA"/>
    <w:rsid w:val="009840BD"/>
    <w:rsid w:val="009D70E6"/>
    <w:rsid w:val="009F5363"/>
    <w:rsid w:val="00A06E5F"/>
    <w:rsid w:val="00A4310F"/>
    <w:rsid w:val="00A54C52"/>
    <w:rsid w:val="00A64A0F"/>
    <w:rsid w:val="00A712C8"/>
    <w:rsid w:val="00A8677D"/>
    <w:rsid w:val="00A91577"/>
    <w:rsid w:val="00AB2838"/>
    <w:rsid w:val="00AC3056"/>
    <w:rsid w:val="00AD2C99"/>
    <w:rsid w:val="00B017C1"/>
    <w:rsid w:val="00B023CC"/>
    <w:rsid w:val="00B02BE2"/>
    <w:rsid w:val="00B0742C"/>
    <w:rsid w:val="00B13E1D"/>
    <w:rsid w:val="00B42AB8"/>
    <w:rsid w:val="00B44795"/>
    <w:rsid w:val="00B53094"/>
    <w:rsid w:val="00B74082"/>
    <w:rsid w:val="00BA5E00"/>
    <w:rsid w:val="00BB43AE"/>
    <w:rsid w:val="00BD1712"/>
    <w:rsid w:val="00BD1F82"/>
    <w:rsid w:val="00BE59DE"/>
    <w:rsid w:val="00BF2FE9"/>
    <w:rsid w:val="00C10720"/>
    <w:rsid w:val="00C521AF"/>
    <w:rsid w:val="00C65BAF"/>
    <w:rsid w:val="00C671CF"/>
    <w:rsid w:val="00C67CEF"/>
    <w:rsid w:val="00C7339F"/>
    <w:rsid w:val="00C87C59"/>
    <w:rsid w:val="00CA3C43"/>
    <w:rsid w:val="00CB118A"/>
    <w:rsid w:val="00CC145F"/>
    <w:rsid w:val="00CC5A52"/>
    <w:rsid w:val="00CC65B0"/>
    <w:rsid w:val="00CE72D2"/>
    <w:rsid w:val="00CE7866"/>
    <w:rsid w:val="00CF3FBC"/>
    <w:rsid w:val="00D05185"/>
    <w:rsid w:val="00D06E39"/>
    <w:rsid w:val="00D12E88"/>
    <w:rsid w:val="00D14FD2"/>
    <w:rsid w:val="00D225CC"/>
    <w:rsid w:val="00D47C8A"/>
    <w:rsid w:val="00D649F7"/>
    <w:rsid w:val="00D72749"/>
    <w:rsid w:val="00D834C8"/>
    <w:rsid w:val="00D9198E"/>
    <w:rsid w:val="00DC4240"/>
    <w:rsid w:val="00DC77B3"/>
    <w:rsid w:val="00DD0428"/>
    <w:rsid w:val="00DE474D"/>
    <w:rsid w:val="00DE6568"/>
    <w:rsid w:val="00E257E0"/>
    <w:rsid w:val="00E2750D"/>
    <w:rsid w:val="00E312D0"/>
    <w:rsid w:val="00E353EF"/>
    <w:rsid w:val="00E36B93"/>
    <w:rsid w:val="00E37BA7"/>
    <w:rsid w:val="00E420C0"/>
    <w:rsid w:val="00E52BD5"/>
    <w:rsid w:val="00E6687E"/>
    <w:rsid w:val="00E82E73"/>
    <w:rsid w:val="00E93DEA"/>
    <w:rsid w:val="00EA0301"/>
    <w:rsid w:val="00EA4F66"/>
    <w:rsid w:val="00ED15BC"/>
    <w:rsid w:val="00EF324A"/>
    <w:rsid w:val="00F0594A"/>
    <w:rsid w:val="00F068D7"/>
    <w:rsid w:val="00F12F75"/>
    <w:rsid w:val="00F16ABF"/>
    <w:rsid w:val="00F2639A"/>
    <w:rsid w:val="00F348B0"/>
    <w:rsid w:val="00F60947"/>
    <w:rsid w:val="00F70D71"/>
    <w:rsid w:val="00F90BD9"/>
    <w:rsid w:val="00F92E9C"/>
    <w:rsid w:val="00F951C4"/>
    <w:rsid w:val="00FA08CD"/>
    <w:rsid w:val="00FA4DA8"/>
    <w:rsid w:val="00FB634E"/>
    <w:rsid w:val="00FF0D11"/>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EFE09"/>
  <w15:docId w15:val="{4C9C5BDC-E3DE-4545-AAAF-0F8AC431D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E39"/>
    <w:pPr>
      <w:spacing w:before="240" w:after="120" w:line="300" w:lineRule="auto"/>
      <w:jc w:val="both"/>
    </w:pPr>
    <w:rPr>
      <w:rFonts w:ascii="Times New Roman" w:hAnsi="Times New Roman"/>
    </w:rPr>
  </w:style>
  <w:style w:type="paragraph" w:styleId="Ttulo1">
    <w:name w:val="heading 1"/>
    <w:basedOn w:val="Normal"/>
    <w:next w:val="Normal"/>
    <w:link w:val="Ttulo1Car"/>
    <w:uiPriority w:val="9"/>
    <w:qFormat/>
    <w:rsid w:val="000970ED"/>
    <w:pPr>
      <w:keepNext/>
      <w:keepLines/>
      <w:numPr>
        <w:numId w:val="1"/>
      </w:numPr>
      <w:spacing w:before="480" w:after="0"/>
      <w:outlineLvl w:val="0"/>
    </w:pPr>
    <w:rPr>
      <w:rFonts w:eastAsiaTheme="majorEastAsia" w:cstheme="majorBidi"/>
      <w:b/>
      <w:bCs/>
      <w:szCs w:val="28"/>
    </w:rPr>
  </w:style>
  <w:style w:type="paragraph" w:styleId="Ttulo2">
    <w:name w:val="heading 2"/>
    <w:basedOn w:val="Normal"/>
    <w:next w:val="Normal"/>
    <w:link w:val="Ttulo2Car"/>
    <w:autoRedefine/>
    <w:uiPriority w:val="9"/>
    <w:unhideWhenUsed/>
    <w:qFormat/>
    <w:rsid w:val="000970ED"/>
    <w:pPr>
      <w:keepNext/>
      <w:keepLines/>
      <w:numPr>
        <w:ilvl w:val="1"/>
        <w:numId w:val="1"/>
      </w:numPr>
      <w:spacing w:before="200" w:after="0"/>
      <w:outlineLvl w:val="1"/>
    </w:pPr>
    <w:rPr>
      <w:rFonts w:eastAsiaTheme="majorEastAsia" w:cs="Times New Roman"/>
      <w:b/>
      <w:bCs/>
      <w:color w:val="000000" w:themeColor="text1"/>
      <w:szCs w:val="26"/>
    </w:rPr>
  </w:style>
  <w:style w:type="paragraph" w:styleId="Ttulo3">
    <w:name w:val="heading 3"/>
    <w:basedOn w:val="Normal"/>
    <w:next w:val="Normal"/>
    <w:link w:val="Ttulo3Car"/>
    <w:autoRedefine/>
    <w:uiPriority w:val="9"/>
    <w:unhideWhenUsed/>
    <w:qFormat/>
    <w:rsid w:val="000970ED"/>
    <w:pPr>
      <w:keepNext/>
      <w:keepLines/>
      <w:numPr>
        <w:ilvl w:val="2"/>
        <w:numId w:val="1"/>
      </w:numPr>
      <w:tabs>
        <w:tab w:val="left" w:pos="709"/>
      </w:tabs>
      <w:spacing w:before="200" w:after="0" w:line="276" w:lineRule="auto"/>
      <w:ind w:left="0" w:firstLine="0"/>
      <w:outlineLvl w:val="2"/>
    </w:pPr>
    <w:rPr>
      <w:rFonts w:eastAsiaTheme="majorEastAsia" w:cstheme="majorBidi"/>
      <w:b/>
      <w:bCs/>
    </w:rPr>
  </w:style>
  <w:style w:type="paragraph" w:styleId="Ttulo4">
    <w:name w:val="heading 4"/>
    <w:basedOn w:val="Normal"/>
    <w:next w:val="Normal"/>
    <w:link w:val="Ttulo4Car"/>
    <w:uiPriority w:val="9"/>
    <w:unhideWhenUsed/>
    <w:qFormat/>
    <w:rsid w:val="000970ED"/>
    <w:pPr>
      <w:keepNext/>
      <w:keepLines/>
      <w:numPr>
        <w:ilvl w:val="3"/>
        <w:numId w:val="1"/>
      </w:numPr>
      <w:spacing w:before="200" w:after="0"/>
      <w:ind w:left="5258" w:firstLine="0"/>
      <w:outlineLvl w:val="3"/>
    </w:pPr>
    <w:rPr>
      <w:rFonts w:eastAsiaTheme="majorEastAsia" w:cstheme="majorBidi"/>
      <w:b/>
      <w:bCs/>
      <w:i/>
      <w:iCs/>
    </w:rPr>
  </w:style>
  <w:style w:type="paragraph" w:styleId="Ttulo5">
    <w:name w:val="heading 5"/>
    <w:basedOn w:val="Normal"/>
    <w:next w:val="Normal"/>
    <w:link w:val="Ttulo5Car"/>
    <w:uiPriority w:val="9"/>
    <w:unhideWhenUsed/>
    <w:qFormat/>
    <w:rsid w:val="000970ED"/>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0970ED"/>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0970E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970E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0970E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unhideWhenUsed/>
    <w:rsid w:val="00947E36"/>
    <w:rPr>
      <w:color w:val="0563C1" w:themeColor="hyperlink"/>
      <w:u w:val="single"/>
    </w:rPr>
  </w:style>
  <w:style w:type="character" w:customStyle="1" w:styleId="Ttulo1Car">
    <w:name w:val="Título 1 Car"/>
    <w:basedOn w:val="Fuentedeprrafopredeter"/>
    <w:link w:val="Ttulo1"/>
    <w:uiPriority w:val="9"/>
    <w:qFormat/>
    <w:rsid w:val="000970ED"/>
    <w:rPr>
      <w:rFonts w:ascii="Times New Roman" w:eastAsiaTheme="majorEastAsia" w:hAnsi="Times New Roman" w:cstheme="majorBidi"/>
      <w:b/>
      <w:bCs/>
      <w:szCs w:val="28"/>
    </w:rPr>
  </w:style>
  <w:style w:type="character" w:customStyle="1" w:styleId="Ttulo2Car">
    <w:name w:val="Título 2 Car"/>
    <w:basedOn w:val="Fuentedeprrafopredeter"/>
    <w:link w:val="Ttulo2"/>
    <w:uiPriority w:val="9"/>
    <w:qFormat/>
    <w:rsid w:val="000970ED"/>
    <w:rPr>
      <w:rFonts w:ascii="Times New Roman" w:eastAsiaTheme="majorEastAsia" w:hAnsi="Times New Roman" w:cs="Times New Roman"/>
      <w:b/>
      <w:bCs/>
      <w:color w:val="000000" w:themeColor="text1"/>
      <w:szCs w:val="26"/>
    </w:rPr>
  </w:style>
  <w:style w:type="character" w:customStyle="1" w:styleId="Ttulo3Car">
    <w:name w:val="Título 3 Car"/>
    <w:basedOn w:val="Fuentedeprrafopredeter"/>
    <w:link w:val="Ttulo3"/>
    <w:uiPriority w:val="9"/>
    <w:qFormat/>
    <w:rsid w:val="000970ED"/>
    <w:rPr>
      <w:rFonts w:ascii="Times New Roman" w:eastAsiaTheme="majorEastAsia" w:hAnsi="Times New Roman" w:cstheme="majorBidi"/>
      <w:b/>
      <w:bCs/>
    </w:rPr>
  </w:style>
  <w:style w:type="character" w:customStyle="1" w:styleId="Ttulo4Car">
    <w:name w:val="Título 4 Car"/>
    <w:basedOn w:val="Fuentedeprrafopredeter"/>
    <w:link w:val="Ttulo4"/>
    <w:uiPriority w:val="9"/>
    <w:qFormat/>
    <w:rsid w:val="000970ED"/>
    <w:rPr>
      <w:rFonts w:ascii="Times New Roman" w:eastAsiaTheme="majorEastAsia" w:hAnsi="Times New Roman" w:cstheme="majorBidi"/>
      <w:b/>
      <w:bCs/>
      <w:i/>
      <w:iCs/>
    </w:rPr>
  </w:style>
  <w:style w:type="character" w:customStyle="1" w:styleId="Ttulo5Car">
    <w:name w:val="Título 5 Car"/>
    <w:basedOn w:val="Fuentedeprrafopredeter"/>
    <w:link w:val="Ttulo5"/>
    <w:uiPriority w:val="9"/>
    <w:qFormat/>
    <w:rsid w:val="000970ED"/>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qFormat/>
    <w:rsid w:val="000970ED"/>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qFormat/>
    <w:rsid w:val="000970E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qFormat/>
    <w:rsid w:val="000970E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qFormat/>
    <w:rsid w:val="000970ED"/>
    <w:rPr>
      <w:rFonts w:asciiTheme="majorHAnsi" w:eastAsiaTheme="majorEastAsia" w:hAnsiTheme="majorHAnsi" w:cstheme="majorBidi"/>
      <w:i/>
      <w:iCs/>
      <w:color w:val="404040" w:themeColor="text1" w:themeTint="BF"/>
      <w:sz w:val="20"/>
      <w:szCs w:val="20"/>
    </w:rPr>
  </w:style>
  <w:style w:type="character" w:styleId="Nmerodelnea">
    <w:name w:val="line number"/>
    <w:basedOn w:val="Fuentedeprrafopredeter"/>
    <w:uiPriority w:val="99"/>
    <w:semiHidden/>
    <w:unhideWhenUsed/>
    <w:qFormat/>
    <w:rsid w:val="007F22AD"/>
  </w:style>
  <w:style w:type="character" w:customStyle="1" w:styleId="TextocomentarioCar">
    <w:name w:val="Texto comentario Car"/>
    <w:link w:val="Textocomentario"/>
    <w:uiPriority w:val="99"/>
    <w:semiHidden/>
    <w:qFormat/>
    <w:rsid w:val="00A90F2F"/>
    <w:rPr>
      <w:sz w:val="20"/>
      <w:szCs w:val="20"/>
    </w:rPr>
  </w:style>
  <w:style w:type="character" w:styleId="Refdecomentario">
    <w:name w:val="annotation reference"/>
    <w:uiPriority w:val="99"/>
    <w:semiHidden/>
    <w:unhideWhenUsed/>
    <w:qFormat/>
    <w:rsid w:val="00A90F2F"/>
    <w:rPr>
      <w:sz w:val="16"/>
      <w:szCs w:val="16"/>
    </w:rPr>
  </w:style>
  <w:style w:type="character" w:customStyle="1" w:styleId="TextocomentarioCar1">
    <w:name w:val="Texto comentario Car1"/>
    <w:basedOn w:val="Fuentedeprrafopredeter"/>
    <w:uiPriority w:val="99"/>
    <w:semiHidden/>
    <w:qFormat/>
    <w:rsid w:val="00A90F2F"/>
    <w:rPr>
      <w:sz w:val="20"/>
      <w:szCs w:val="20"/>
    </w:rPr>
  </w:style>
  <w:style w:type="character" w:customStyle="1" w:styleId="TextodegloboCar">
    <w:name w:val="Texto de globo Car"/>
    <w:basedOn w:val="Fuentedeprrafopredeter"/>
    <w:link w:val="Textodeglobo"/>
    <w:uiPriority w:val="99"/>
    <w:semiHidden/>
    <w:qFormat/>
    <w:rsid w:val="00A90F2F"/>
    <w:rPr>
      <w:rFonts w:ascii="Segoe UI" w:hAnsi="Segoe UI" w:cs="Segoe UI"/>
      <w:sz w:val="18"/>
      <w:szCs w:val="18"/>
    </w:rPr>
  </w:style>
  <w:style w:type="character" w:customStyle="1" w:styleId="HTMLconformatoprevioCar">
    <w:name w:val="HTML con formato previo Car"/>
    <w:basedOn w:val="Fuentedeprrafopredeter"/>
    <w:link w:val="HTMLconformatoprevio"/>
    <w:uiPriority w:val="99"/>
    <w:semiHidden/>
    <w:qFormat/>
    <w:rsid w:val="000D5BE9"/>
    <w:rPr>
      <w:rFonts w:ascii="Courier New" w:eastAsia="Times New Roman" w:hAnsi="Courier New" w:cs="Courier New"/>
      <w:sz w:val="20"/>
      <w:szCs w:val="20"/>
      <w:lang w:eastAsia="es-CO"/>
    </w:rPr>
  </w:style>
  <w:style w:type="character" w:customStyle="1" w:styleId="AsuntodelcomentarioCar">
    <w:name w:val="Asunto del comentario Car"/>
    <w:basedOn w:val="TextocomentarioCar"/>
    <w:link w:val="Asuntodelcomentario"/>
    <w:uiPriority w:val="99"/>
    <w:semiHidden/>
    <w:qFormat/>
    <w:rsid w:val="000020AA"/>
    <w:rPr>
      <w:b/>
      <w:bCs/>
      <w:sz w:val="20"/>
      <w:szCs w:val="20"/>
    </w:rPr>
  </w:style>
  <w:style w:type="character" w:customStyle="1" w:styleId="EncabezadoCar">
    <w:name w:val="Encabezado Car"/>
    <w:basedOn w:val="Fuentedeprrafopredeter"/>
    <w:link w:val="Encabezado"/>
    <w:uiPriority w:val="99"/>
    <w:qFormat/>
    <w:rsid w:val="008D6E85"/>
    <w:rPr>
      <w:rFonts w:ascii="Times New Roman" w:hAnsi="Times New Roman"/>
    </w:rPr>
  </w:style>
  <w:style w:type="character" w:customStyle="1" w:styleId="PiedepginaCar">
    <w:name w:val="Pie de página Car"/>
    <w:basedOn w:val="Fuentedeprrafopredeter"/>
    <w:link w:val="Piedepgina"/>
    <w:uiPriority w:val="99"/>
    <w:qFormat/>
    <w:rsid w:val="008D6E85"/>
    <w:rPr>
      <w:rFonts w:ascii="Times New Roman" w:hAnsi="Times New Roman"/>
    </w:rPr>
  </w:style>
  <w:style w:type="character" w:customStyle="1" w:styleId="TextonotapieCar">
    <w:name w:val="Texto nota pie Car"/>
    <w:basedOn w:val="Fuentedeprrafopredeter"/>
    <w:link w:val="Textonotapie"/>
    <w:uiPriority w:val="99"/>
    <w:semiHidden/>
    <w:qFormat/>
    <w:rsid w:val="00C169AF"/>
    <w:rPr>
      <w:rFonts w:ascii="Times New Roman" w:hAnsi="Times New Roman"/>
      <w:sz w:val="20"/>
      <w:szCs w:val="20"/>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C169AF"/>
    <w:rPr>
      <w:vertAlign w:val="superscript"/>
    </w:rPr>
  </w:style>
  <w:style w:type="character" w:customStyle="1" w:styleId="Caracteresdenotaalpie">
    <w:name w:val="Caracteres de nota al pie"/>
    <w:qFormat/>
  </w:style>
  <w:style w:type="paragraph" w:styleId="Puesto">
    <w:name w:val="Title"/>
    <w:basedOn w:val="Normal"/>
    <w:next w:val="Textoindependiente"/>
    <w:qFormat/>
    <w:pPr>
      <w:keepNext/>
    </w:pPr>
    <w:rPr>
      <w:rFonts w:ascii="Liberation Sans" w:eastAsia="Noto Sans CJK SC" w:hAnsi="Liberation Sans" w:cs="Noto Sans Devanagari"/>
      <w:sz w:val="28"/>
      <w:szCs w:val="28"/>
    </w:rPr>
  </w:style>
  <w:style w:type="paragraph" w:styleId="Textoindependiente">
    <w:name w:val="Body Text"/>
    <w:basedOn w:val="Normal"/>
    <w:pPr>
      <w:spacing w:before="0" w:after="140" w:line="276" w:lineRule="auto"/>
    </w:pPr>
  </w:style>
  <w:style w:type="paragraph" w:styleId="Lista">
    <w:name w:val="List"/>
    <w:basedOn w:val="Textoindependiente"/>
    <w:rPr>
      <w:rFonts w:cs="Noto Sans Devanagari"/>
    </w:rPr>
  </w:style>
  <w:style w:type="paragraph" w:styleId="Descripcin">
    <w:name w:val="caption"/>
    <w:basedOn w:val="Normal"/>
    <w:next w:val="Normal"/>
    <w:uiPriority w:val="35"/>
    <w:unhideWhenUsed/>
    <w:qFormat/>
    <w:rsid w:val="00947E36"/>
    <w:pPr>
      <w:spacing w:after="200" w:line="240" w:lineRule="auto"/>
    </w:pPr>
    <w:rPr>
      <w:i/>
      <w:iCs/>
      <w:color w:val="44546A" w:themeColor="text2"/>
      <w:sz w:val="18"/>
      <w:szCs w:val="18"/>
    </w:rPr>
  </w:style>
  <w:style w:type="paragraph" w:customStyle="1" w:styleId="ndice">
    <w:name w:val="Índice"/>
    <w:basedOn w:val="Normal"/>
    <w:qFormat/>
    <w:pPr>
      <w:suppressLineNumbers/>
    </w:pPr>
    <w:rPr>
      <w:rFonts w:cs="Noto Sans Devanagari"/>
    </w:rPr>
  </w:style>
  <w:style w:type="paragraph" w:styleId="Prrafodelista">
    <w:name w:val="List Paragraph"/>
    <w:basedOn w:val="Normal"/>
    <w:uiPriority w:val="34"/>
    <w:qFormat/>
    <w:rsid w:val="000970ED"/>
    <w:pPr>
      <w:spacing w:after="200" w:line="276" w:lineRule="auto"/>
      <w:ind w:left="720"/>
      <w:contextualSpacing/>
    </w:pPr>
    <w:rPr>
      <w:lang w:val="es-ES"/>
    </w:rPr>
  </w:style>
  <w:style w:type="paragraph" w:styleId="Textocomentario">
    <w:name w:val="annotation text"/>
    <w:basedOn w:val="Normal"/>
    <w:link w:val="TextocomentarioCar"/>
    <w:uiPriority w:val="99"/>
    <w:semiHidden/>
    <w:unhideWhenUsed/>
    <w:qFormat/>
    <w:rsid w:val="00A90F2F"/>
    <w:pPr>
      <w:spacing w:after="200" w:line="240" w:lineRule="auto"/>
    </w:pPr>
    <w:rPr>
      <w:sz w:val="20"/>
      <w:szCs w:val="20"/>
    </w:rPr>
  </w:style>
  <w:style w:type="paragraph" w:styleId="Textodeglobo">
    <w:name w:val="Balloon Text"/>
    <w:basedOn w:val="Normal"/>
    <w:link w:val="TextodegloboCar"/>
    <w:uiPriority w:val="99"/>
    <w:semiHidden/>
    <w:unhideWhenUsed/>
    <w:qFormat/>
    <w:rsid w:val="00A90F2F"/>
    <w:pPr>
      <w:spacing w:after="0" w:line="240" w:lineRule="auto"/>
    </w:pPr>
    <w:rPr>
      <w:rFonts w:ascii="Segoe UI" w:hAnsi="Segoe UI" w:cs="Segoe UI"/>
      <w:sz w:val="18"/>
      <w:szCs w:val="18"/>
    </w:rPr>
  </w:style>
  <w:style w:type="paragraph" w:styleId="HTMLconformatoprevio">
    <w:name w:val="HTML Preformatted"/>
    <w:basedOn w:val="Normal"/>
    <w:link w:val="HTMLconformatoprevioCar"/>
    <w:uiPriority w:val="99"/>
    <w:semiHidden/>
    <w:unhideWhenUsed/>
    <w:qFormat/>
    <w:rsid w:val="000D5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paragraph" w:styleId="Asuntodelcomentario">
    <w:name w:val="annotation subject"/>
    <w:basedOn w:val="Textocomentario"/>
    <w:next w:val="Textocomentario"/>
    <w:link w:val="AsuntodelcomentarioCar"/>
    <w:uiPriority w:val="99"/>
    <w:semiHidden/>
    <w:unhideWhenUsed/>
    <w:qFormat/>
    <w:rsid w:val="000020AA"/>
    <w:pPr>
      <w:spacing w:after="160"/>
    </w:pPr>
    <w:rPr>
      <w:b/>
      <w:bCs/>
    </w:rPr>
  </w:style>
  <w:style w:type="paragraph" w:styleId="Revisin">
    <w:name w:val="Revision"/>
    <w:uiPriority w:val="99"/>
    <w:semiHidden/>
    <w:qFormat/>
    <w:rsid w:val="00CC412A"/>
  </w:style>
  <w:style w:type="paragraph" w:customStyle="1" w:styleId="Cabeceraypie">
    <w:name w:val="Cabecera y pie"/>
    <w:basedOn w:val="Normal"/>
    <w:qFormat/>
  </w:style>
  <w:style w:type="paragraph" w:styleId="Encabezado">
    <w:name w:val="header"/>
    <w:basedOn w:val="Normal"/>
    <w:link w:val="EncabezadoCar"/>
    <w:uiPriority w:val="99"/>
    <w:unhideWhenUsed/>
    <w:rsid w:val="008D6E85"/>
    <w:pPr>
      <w:tabs>
        <w:tab w:val="center" w:pos="4419"/>
        <w:tab w:val="right" w:pos="8838"/>
      </w:tabs>
      <w:spacing w:before="0" w:after="0" w:line="240" w:lineRule="auto"/>
    </w:pPr>
  </w:style>
  <w:style w:type="paragraph" w:styleId="Piedepgina">
    <w:name w:val="footer"/>
    <w:basedOn w:val="Normal"/>
    <w:link w:val="PiedepginaCar"/>
    <w:uiPriority w:val="99"/>
    <w:unhideWhenUsed/>
    <w:rsid w:val="008D6E85"/>
    <w:pPr>
      <w:tabs>
        <w:tab w:val="center" w:pos="4419"/>
        <w:tab w:val="right" w:pos="8838"/>
      </w:tabs>
      <w:spacing w:before="0" w:after="0" w:line="240" w:lineRule="auto"/>
    </w:pPr>
  </w:style>
  <w:style w:type="paragraph" w:styleId="Textonotapie">
    <w:name w:val="footnote text"/>
    <w:basedOn w:val="Normal"/>
    <w:link w:val="TextonotapieCar"/>
    <w:uiPriority w:val="99"/>
    <w:semiHidden/>
    <w:unhideWhenUsed/>
    <w:rsid w:val="00C169AF"/>
    <w:pPr>
      <w:spacing w:before="0" w:after="0" w:line="240" w:lineRule="auto"/>
    </w:pPr>
    <w:rPr>
      <w:sz w:val="20"/>
      <w:szCs w:val="20"/>
    </w:rPr>
  </w:style>
  <w:style w:type="table" w:styleId="Tablaconcuadrcula">
    <w:name w:val="Table Grid"/>
    <w:basedOn w:val="Tablanormal"/>
    <w:uiPriority w:val="39"/>
    <w:rsid w:val="000970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607A5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character" w:styleId="Hipervnculo">
    <w:name w:val="Hyperlink"/>
    <w:basedOn w:val="Fuentedeprrafopredeter"/>
    <w:uiPriority w:val="99"/>
    <w:unhideWhenUsed/>
    <w:rsid w:val="00DE6568"/>
    <w:rPr>
      <w:color w:val="0563C1" w:themeColor="hyperlink"/>
      <w:u w:val="single"/>
    </w:rPr>
  </w:style>
  <w:style w:type="character" w:customStyle="1" w:styleId="UnresolvedMention">
    <w:name w:val="Unresolved Mention"/>
    <w:basedOn w:val="Fuentedeprrafopredeter"/>
    <w:uiPriority w:val="99"/>
    <w:semiHidden/>
    <w:unhideWhenUsed/>
    <w:rsid w:val="00DE6568"/>
    <w:rPr>
      <w:color w:val="605E5C"/>
      <w:shd w:val="clear" w:color="auto" w:fill="E1DFDD"/>
    </w:rPr>
  </w:style>
  <w:style w:type="character" w:styleId="Refdenotaalpie">
    <w:name w:val="footnote reference"/>
    <w:basedOn w:val="Fuentedeprrafopredeter"/>
    <w:uiPriority w:val="99"/>
    <w:semiHidden/>
    <w:unhideWhenUsed/>
    <w:rsid w:val="00F12F75"/>
    <w:rPr>
      <w:vertAlign w:val="superscript"/>
    </w:rPr>
  </w:style>
  <w:style w:type="paragraph" w:customStyle="1" w:styleId="Affiliation">
    <w:name w:val="Affiliation"/>
    <w:uiPriority w:val="99"/>
    <w:rsid w:val="00716793"/>
    <w:pPr>
      <w:jc w:val="center"/>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2271">
      <w:bodyDiv w:val="1"/>
      <w:marLeft w:val="0"/>
      <w:marRight w:val="0"/>
      <w:marTop w:val="0"/>
      <w:marBottom w:val="0"/>
      <w:divBdr>
        <w:top w:val="none" w:sz="0" w:space="0" w:color="auto"/>
        <w:left w:val="none" w:sz="0" w:space="0" w:color="auto"/>
        <w:bottom w:val="none" w:sz="0" w:space="0" w:color="auto"/>
        <w:right w:val="none" w:sz="0" w:space="0" w:color="auto"/>
      </w:divBdr>
      <w:divsChild>
        <w:div w:id="770049883">
          <w:marLeft w:val="0"/>
          <w:marRight w:val="0"/>
          <w:marTop w:val="0"/>
          <w:marBottom w:val="0"/>
          <w:divBdr>
            <w:top w:val="none" w:sz="0" w:space="0" w:color="auto"/>
            <w:left w:val="none" w:sz="0" w:space="0" w:color="auto"/>
            <w:bottom w:val="none" w:sz="0" w:space="0" w:color="auto"/>
            <w:right w:val="none" w:sz="0" w:space="0" w:color="auto"/>
          </w:divBdr>
        </w:div>
        <w:div w:id="1154685981">
          <w:marLeft w:val="0"/>
          <w:marRight w:val="0"/>
          <w:marTop w:val="0"/>
          <w:marBottom w:val="0"/>
          <w:divBdr>
            <w:top w:val="none" w:sz="0" w:space="0" w:color="auto"/>
            <w:left w:val="none" w:sz="0" w:space="0" w:color="auto"/>
            <w:bottom w:val="none" w:sz="0" w:space="0" w:color="auto"/>
            <w:right w:val="none" w:sz="0" w:space="0" w:color="auto"/>
          </w:divBdr>
        </w:div>
        <w:div w:id="492378270">
          <w:marLeft w:val="0"/>
          <w:marRight w:val="0"/>
          <w:marTop w:val="0"/>
          <w:marBottom w:val="0"/>
          <w:divBdr>
            <w:top w:val="none" w:sz="0" w:space="0" w:color="auto"/>
            <w:left w:val="none" w:sz="0" w:space="0" w:color="auto"/>
            <w:bottom w:val="none" w:sz="0" w:space="0" w:color="auto"/>
            <w:right w:val="none" w:sz="0" w:space="0" w:color="auto"/>
          </w:divBdr>
        </w:div>
        <w:div w:id="6180715">
          <w:marLeft w:val="0"/>
          <w:marRight w:val="0"/>
          <w:marTop w:val="0"/>
          <w:marBottom w:val="0"/>
          <w:divBdr>
            <w:top w:val="none" w:sz="0" w:space="0" w:color="auto"/>
            <w:left w:val="none" w:sz="0" w:space="0" w:color="auto"/>
            <w:bottom w:val="none" w:sz="0" w:space="0" w:color="auto"/>
            <w:right w:val="none" w:sz="0" w:space="0" w:color="auto"/>
          </w:divBdr>
        </w:div>
        <w:div w:id="1457722557">
          <w:marLeft w:val="0"/>
          <w:marRight w:val="0"/>
          <w:marTop w:val="0"/>
          <w:marBottom w:val="0"/>
          <w:divBdr>
            <w:top w:val="none" w:sz="0" w:space="0" w:color="auto"/>
            <w:left w:val="none" w:sz="0" w:space="0" w:color="auto"/>
            <w:bottom w:val="none" w:sz="0" w:space="0" w:color="auto"/>
            <w:right w:val="none" w:sz="0" w:space="0" w:color="auto"/>
          </w:divBdr>
        </w:div>
        <w:div w:id="813720967">
          <w:marLeft w:val="0"/>
          <w:marRight w:val="0"/>
          <w:marTop w:val="0"/>
          <w:marBottom w:val="0"/>
          <w:divBdr>
            <w:top w:val="none" w:sz="0" w:space="0" w:color="auto"/>
            <w:left w:val="none" w:sz="0" w:space="0" w:color="auto"/>
            <w:bottom w:val="none" w:sz="0" w:space="0" w:color="auto"/>
            <w:right w:val="none" w:sz="0" w:space="0" w:color="auto"/>
          </w:divBdr>
        </w:div>
        <w:div w:id="564876892">
          <w:marLeft w:val="0"/>
          <w:marRight w:val="0"/>
          <w:marTop w:val="0"/>
          <w:marBottom w:val="0"/>
          <w:divBdr>
            <w:top w:val="none" w:sz="0" w:space="0" w:color="auto"/>
            <w:left w:val="none" w:sz="0" w:space="0" w:color="auto"/>
            <w:bottom w:val="none" w:sz="0" w:space="0" w:color="auto"/>
            <w:right w:val="none" w:sz="0" w:space="0" w:color="auto"/>
          </w:divBdr>
        </w:div>
        <w:div w:id="616059148">
          <w:marLeft w:val="0"/>
          <w:marRight w:val="0"/>
          <w:marTop w:val="0"/>
          <w:marBottom w:val="0"/>
          <w:divBdr>
            <w:top w:val="none" w:sz="0" w:space="0" w:color="auto"/>
            <w:left w:val="none" w:sz="0" w:space="0" w:color="auto"/>
            <w:bottom w:val="none" w:sz="0" w:space="0" w:color="auto"/>
            <w:right w:val="none" w:sz="0" w:space="0" w:color="auto"/>
          </w:divBdr>
        </w:div>
        <w:div w:id="1405689753">
          <w:marLeft w:val="0"/>
          <w:marRight w:val="0"/>
          <w:marTop w:val="0"/>
          <w:marBottom w:val="0"/>
          <w:divBdr>
            <w:top w:val="none" w:sz="0" w:space="0" w:color="auto"/>
            <w:left w:val="none" w:sz="0" w:space="0" w:color="auto"/>
            <w:bottom w:val="none" w:sz="0" w:space="0" w:color="auto"/>
            <w:right w:val="none" w:sz="0" w:space="0" w:color="auto"/>
          </w:divBdr>
        </w:div>
        <w:div w:id="1403332344">
          <w:marLeft w:val="0"/>
          <w:marRight w:val="0"/>
          <w:marTop w:val="0"/>
          <w:marBottom w:val="0"/>
          <w:divBdr>
            <w:top w:val="none" w:sz="0" w:space="0" w:color="auto"/>
            <w:left w:val="none" w:sz="0" w:space="0" w:color="auto"/>
            <w:bottom w:val="none" w:sz="0" w:space="0" w:color="auto"/>
            <w:right w:val="none" w:sz="0" w:space="0" w:color="auto"/>
          </w:divBdr>
        </w:div>
        <w:div w:id="104273692">
          <w:marLeft w:val="0"/>
          <w:marRight w:val="0"/>
          <w:marTop w:val="0"/>
          <w:marBottom w:val="0"/>
          <w:divBdr>
            <w:top w:val="none" w:sz="0" w:space="0" w:color="auto"/>
            <w:left w:val="none" w:sz="0" w:space="0" w:color="auto"/>
            <w:bottom w:val="none" w:sz="0" w:space="0" w:color="auto"/>
            <w:right w:val="none" w:sz="0" w:space="0" w:color="auto"/>
          </w:divBdr>
        </w:div>
        <w:div w:id="471480679">
          <w:marLeft w:val="0"/>
          <w:marRight w:val="0"/>
          <w:marTop w:val="0"/>
          <w:marBottom w:val="0"/>
          <w:divBdr>
            <w:top w:val="none" w:sz="0" w:space="0" w:color="auto"/>
            <w:left w:val="none" w:sz="0" w:space="0" w:color="auto"/>
            <w:bottom w:val="none" w:sz="0" w:space="0" w:color="auto"/>
            <w:right w:val="none" w:sz="0" w:space="0" w:color="auto"/>
          </w:divBdr>
        </w:div>
        <w:div w:id="1255020271">
          <w:marLeft w:val="0"/>
          <w:marRight w:val="0"/>
          <w:marTop w:val="0"/>
          <w:marBottom w:val="0"/>
          <w:divBdr>
            <w:top w:val="none" w:sz="0" w:space="0" w:color="auto"/>
            <w:left w:val="none" w:sz="0" w:space="0" w:color="auto"/>
            <w:bottom w:val="none" w:sz="0" w:space="0" w:color="auto"/>
            <w:right w:val="none" w:sz="0" w:space="0" w:color="auto"/>
          </w:divBdr>
        </w:div>
        <w:div w:id="1369454891">
          <w:marLeft w:val="0"/>
          <w:marRight w:val="0"/>
          <w:marTop w:val="0"/>
          <w:marBottom w:val="0"/>
          <w:divBdr>
            <w:top w:val="none" w:sz="0" w:space="0" w:color="auto"/>
            <w:left w:val="none" w:sz="0" w:space="0" w:color="auto"/>
            <w:bottom w:val="none" w:sz="0" w:space="0" w:color="auto"/>
            <w:right w:val="none" w:sz="0" w:space="0" w:color="auto"/>
          </w:divBdr>
        </w:div>
        <w:div w:id="1177429571">
          <w:marLeft w:val="0"/>
          <w:marRight w:val="0"/>
          <w:marTop w:val="0"/>
          <w:marBottom w:val="0"/>
          <w:divBdr>
            <w:top w:val="none" w:sz="0" w:space="0" w:color="auto"/>
            <w:left w:val="none" w:sz="0" w:space="0" w:color="auto"/>
            <w:bottom w:val="none" w:sz="0" w:space="0" w:color="auto"/>
            <w:right w:val="none" w:sz="0" w:space="0" w:color="auto"/>
          </w:divBdr>
        </w:div>
        <w:div w:id="195023406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academia.edu/37828187/Definici%C3%B3n_de_las_zonas_morfoclim%C3%A1ticas_de_Colombia_un_aporte_a_la_correlaci%C3%B3n_entre_el_clima_ambiental_y_el_r%C3%A9gimen_clim%C3%A1tico_del_suelo" TargetMode="External"/><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w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ucentral.edu.co/sites/default/files/inline-files/2017_Seguridad_alimentaria_00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funcionpublica.gov.co/eva/gestornormativo/norma.php?i=26993"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hyperlink" Target="https://revistas.uptc.edu.co/index.php/perspectiva/article/view/4541"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mailto:diegolcortes@igac.gov.co"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E30A6-CD07-4ACE-BA47-19887BEED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13</Pages>
  <Words>5634</Words>
  <Characters>30993</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Sebastian Gutierrez</dc:creator>
  <dc:description/>
  <cp:lastModifiedBy>hp</cp:lastModifiedBy>
  <cp:revision>14</cp:revision>
  <cp:lastPrinted>2021-06-08T20:34:00Z</cp:lastPrinted>
  <dcterms:created xsi:type="dcterms:W3CDTF">2021-06-08T01:29:00Z</dcterms:created>
  <dcterms:modified xsi:type="dcterms:W3CDTF">2021-06-08T20:35:00Z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